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F551C1" w:rsidRDefault="00EE46E1" w:rsidP="00EE46E1">
      <w:pPr>
        <w:widowControl/>
        <w:spacing w:before="120" w:after="120"/>
      </w:pPr>
      <w:r w:rsidRPr="00F551C1">
        <w:rPr>
          <w:sz w:val="19"/>
          <w:szCs w:val="19"/>
        </w:rPr>
        <w:t xml:space="preserve">(Solo per il </w:t>
      </w:r>
      <w:r w:rsidRPr="00F551C1">
        <w:rPr>
          <w:rFonts w:eastAsia="Times New Roman"/>
          <w:sz w:val="19"/>
          <w:szCs w:val="19"/>
        </w:rPr>
        <w:t>Programma ISV</w:t>
      </w:r>
      <w:r w:rsidRPr="00F551C1">
        <w:rPr>
          <w:sz w:val="19"/>
          <w:szCs w:val="19"/>
        </w:rPr>
        <w:t xml:space="preserve"> Royalty)</w:t>
      </w:r>
    </w:p>
    <w:tbl>
      <w:tblPr>
        <w:tblW w:w="9558" w:type="dxa"/>
        <w:tblLook w:val="01E0" w:firstRow="1" w:lastRow="1" w:firstColumn="1" w:lastColumn="1" w:noHBand="0" w:noVBand="0"/>
      </w:tblPr>
      <w:tblGrid>
        <w:gridCol w:w="9558"/>
      </w:tblGrid>
      <w:tr w:rsidR="00EE46E1" w:rsidRPr="00DA4990" w:rsidTr="005435F9">
        <w:trPr>
          <w:trHeight w:val="648"/>
        </w:trPr>
        <w:tc>
          <w:tcPr>
            <w:tcW w:w="9558" w:type="dxa"/>
            <w:shd w:val="clear" w:color="auto" w:fill="000080"/>
            <w:vAlign w:val="center"/>
            <w:hideMark/>
          </w:tcPr>
          <w:p w:rsidR="00EE46E1" w:rsidRPr="00DA4990" w:rsidRDefault="00EE46E1" w:rsidP="00BA6276">
            <w:pPr>
              <w:widowControl/>
              <w:spacing w:before="120" w:after="120"/>
              <w:rPr>
                <w:b/>
                <w:bCs/>
                <w:lang w:eastAsia="zh-CN"/>
              </w:rPr>
            </w:pPr>
            <w:bookmarkStart w:id="0" w:name="_Toc104876522"/>
            <w:bookmarkStart w:id="1" w:name="_Toc116219487"/>
            <w:r w:rsidRPr="00DA4990">
              <w:rPr>
                <w:b/>
                <w:bCs/>
              </w:rPr>
              <w:t>Microsoft</w:t>
            </w:r>
            <w:r w:rsidRPr="00DA4990">
              <w:rPr>
                <w:b/>
                <w:bCs/>
                <w:vertAlign w:val="superscript"/>
              </w:rPr>
              <w:t>®</w:t>
            </w:r>
            <w:r w:rsidRPr="00DA4990">
              <w:rPr>
                <w:b/>
                <w:bCs/>
              </w:rPr>
              <w:t xml:space="preserve"> </w:t>
            </w:r>
            <w:bookmarkEnd w:id="0"/>
            <w:bookmarkEnd w:id="1"/>
            <w:r w:rsidR="00A330B2" w:rsidRPr="00DA4990">
              <w:rPr>
                <w:b/>
                <w:bCs/>
              </w:rPr>
              <w:t>Outlook</w:t>
            </w:r>
            <w:r w:rsidRPr="00DA4990">
              <w:rPr>
                <w:b/>
                <w:bCs/>
                <w:vertAlign w:val="superscript"/>
              </w:rPr>
              <w:t>®</w:t>
            </w:r>
            <w:r w:rsidRPr="00DA4990">
              <w:rPr>
                <w:b/>
                <w:bCs/>
              </w:rPr>
              <w:t xml:space="preserve"> 2016 </w:t>
            </w:r>
            <w:r w:rsidRPr="00DA4990">
              <w:rPr>
                <w:b/>
                <w:bCs/>
                <w:u w:val="single"/>
              </w:rPr>
              <w:fldChar w:fldCharType="begin">
                <w:ffData>
                  <w:name w:val="Text33"/>
                  <w:enabled/>
                  <w:calcOnExit w:val="0"/>
                  <w:textInput/>
                </w:ffData>
              </w:fldChar>
            </w:r>
            <w:r w:rsidRPr="00DA4990">
              <w:rPr>
                <w:b/>
                <w:bCs/>
                <w:u w:val="single"/>
              </w:rPr>
              <w:instrText xml:space="preserve"> FORMTEXT </w:instrText>
            </w:r>
            <w:r w:rsidRPr="00DA4990">
              <w:rPr>
                <w:b/>
                <w:bCs/>
                <w:u w:val="single"/>
              </w:rPr>
            </w:r>
            <w:r w:rsidRPr="00DA4990">
              <w:rPr>
                <w:b/>
                <w:bCs/>
                <w:u w:val="single"/>
              </w:rPr>
              <w:fldChar w:fldCharType="separate"/>
            </w:r>
            <w:bookmarkStart w:id="2" w:name="_GoBack"/>
            <w:r w:rsidRPr="00DA4990">
              <w:rPr>
                <w:b/>
                <w:bCs/>
                <w:noProof/>
                <w:u w:val="single"/>
              </w:rPr>
              <w:t> </w:t>
            </w:r>
            <w:r w:rsidRPr="00DA4990">
              <w:rPr>
                <w:b/>
                <w:bCs/>
                <w:noProof/>
                <w:u w:val="single"/>
              </w:rPr>
              <w:t> </w:t>
            </w:r>
            <w:r w:rsidRPr="00DA4990">
              <w:rPr>
                <w:b/>
                <w:bCs/>
                <w:noProof/>
                <w:u w:val="single"/>
              </w:rPr>
              <w:t> </w:t>
            </w:r>
            <w:r w:rsidRPr="00DA4990">
              <w:rPr>
                <w:b/>
                <w:bCs/>
                <w:noProof/>
                <w:u w:val="single"/>
              </w:rPr>
              <w:t> </w:t>
            </w:r>
            <w:r w:rsidRPr="00DA4990">
              <w:rPr>
                <w:b/>
                <w:bCs/>
                <w:noProof/>
                <w:u w:val="single"/>
              </w:rPr>
              <w:t> </w:t>
            </w:r>
            <w:bookmarkEnd w:id="2"/>
            <w:r w:rsidRPr="00DA4990">
              <w:fldChar w:fldCharType="end"/>
            </w:r>
            <w:r w:rsidR="00326F8A" w:rsidRPr="00DA4990">
              <w:rPr>
                <w:b/>
                <w:bCs/>
                <w:vertAlign w:val="superscript"/>
              </w:rPr>
              <w:footnoteReference w:id="1"/>
            </w:r>
            <w:r w:rsidRPr="00DA4990">
              <w:rPr>
                <w:b/>
                <w:bCs/>
              </w:rPr>
              <w:t xml:space="preserve"> Edition</w:t>
            </w:r>
            <w:r w:rsidR="009D1A02" w:rsidRPr="00DA4990">
              <w:rPr>
                <w:b/>
                <w:bCs/>
              </w:rPr>
              <w:t xml:space="preserve"> </w:t>
            </w:r>
            <w:r w:rsidR="00326F8A" w:rsidRPr="00DA4990">
              <w:rPr>
                <w:b/>
                <w:bCs/>
                <w:vertAlign w:val="superscript"/>
              </w:rPr>
              <w:footnoteReference w:id="2"/>
            </w:r>
            <w:r w:rsidRPr="00DA4990">
              <w:rPr>
                <w:b/>
                <w:bCs/>
              </w:rPr>
              <w:t xml:space="preserve"> </w:t>
            </w:r>
          </w:p>
        </w:tc>
      </w:tr>
      <w:tr w:rsidR="00EE46E1" w:rsidRPr="00DA4990" w:rsidTr="005435F9">
        <w:trPr>
          <w:trHeight w:val="72"/>
        </w:trPr>
        <w:tc>
          <w:tcPr>
            <w:tcW w:w="9558" w:type="dxa"/>
          </w:tcPr>
          <w:p w:rsidR="00EE46E1" w:rsidRPr="00F551C1" w:rsidRDefault="00EE46E1" w:rsidP="00172E20">
            <w:pPr>
              <w:spacing w:before="120" w:after="120"/>
              <w:rPr>
                <w:rFonts w:eastAsia="MS Mincho"/>
                <w:lang w:eastAsia="zh-CN"/>
              </w:rPr>
            </w:pPr>
          </w:p>
        </w:tc>
      </w:tr>
      <w:tr w:rsidR="00EE46E1" w:rsidRPr="00DA4990" w:rsidTr="005435F9">
        <w:trPr>
          <w:trHeight w:val="720"/>
        </w:trPr>
        <w:tc>
          <w:tcPr>
            <w:tcW w:w="9558" w:type="dxa"/>
          </w:tcPr>
          <w:p w:rsidR="00EE46E1" w:rsidRPr="00F551C1" w:rsidRDefault="00EE46E1" w:rsidP="000D5503">
            <w:pPr>
              <w:pStyle w:val="LicenseNumberChar"/>
              <w:spacing w:before="120" w:after="120"/>
            </w:pPr>
            <w:r w:rsidRPr="00F551C1">
              <w:rPr>
                <w:sz w:val="24"/>
                <w:szCs w:val="24"/>
              </w:rPr>
              <w:t xml:space="preserve">Licenze: </w:t>
            </w:r>
            <w:bookmarkStart w:id="3" w:name="Text33"/>
            <w:r w:rsidR="000D5503" w:rsidRPr="00F551C1">
              <w:rPr>
                <w:sz w:val="24"/>
                <w:szCs w:val="24"/>
                <w:u w:val="single"/>
              </w:rPr>
              <w:fldChar w:fldCharType="begin">
                <w:ffData>
                  <w:name w:val="Text33"/>
                  <w:enabled/>
                  <w:calcOnExit w:val="0"/>
                  <w:textInput/>
                </w:ffData>
              </w:fldChar>
            </w:r>
            <w:r w:rsidR="000D5503" w:rsidRPr="00F551C1">
              <w:rPr>
                <w:sz w:val="24"/>
                <w:szCs w:val="24"/>
                <w:u w:val="single"/>
              </w:rPr>
              <w:instrText xml:space="preserve"> FORMTEXT </w:instrText>
            </w:r>
            <w:r w:rsidR="000D5503" w:rsidRPr="00F551C1">
              <w:rPr>
                <w:sz w:val="24"/>
                <w:szCs w:val="24"/>
                <w:u w:val="single"/>
              </w:rPr>
            </w:r>
            <w:r w:rsidR="000D5503" w:rsidRPr="00F551C1">
              <w:rPr>
                <w:sz w:val="24"/>
                <w:szCs w:val="24"/>
                <w:u w:val="single"/>
              </w:rPr>
              <w:fldChar w:fldCharType="separate"/>
            </w:r>
            <w:r w:rsidR="000D5503" w:rsidRPr="00F551C1">
              <w:rPr>
                <w:noProof/>
                <w:sz w:val="24"/>
                <w:szCs w:val="24"/>
                <w:u w:val="single"/>
              </w:rPr>
              <w:t> </w:t>
            </w:r>
            <w:r w:rsidR="000D5503" w:rsidRPr="00F551C1">
              <w:rPr>
                <w:noProof/>
                <w:sz w:val="24"/>
                <w:szCs w:val="24"/>
                <w:u w:val="single"/>
              </w:rPr>
              <w:t> </w:t>
            </w:r>
            <w:r w:rsidR="000D5503" w:rsidRPr="00F551C1">
              <w:rPr>
                <w:noProof/>
                <w:sz w:val="24"/>
                <w:szCs w:val="24"/>
                <w:u w:val="single"/>
              </w:rPr>
              <w:t> </w:t>
            </w:r>
            <w:r w:rsidR="000D5503" w:rsidRPr="00F551C1">
              <w:rPr>
                <w:noProof/>
                <w:sz w:val="24"/>
                <w:szCs w:val="24"/>
                <w:u w:val="single"/>
              </w:rPr>
              <w:t> </w:t>
            </w:r>
            <w:r w:rsidR="000D5503" w:rsidRPr="00F551C1">
              <w:rPr>
                <w:noProof/>
                <w:sz w:val="24"/>
                <w:szCs w:val="24"/>
                <w:u w:val="single"/>
              </w:rPr>
              <w:t> </w:t>
            </w:r>
            <w:r w:rsidR="000D5503" w:rsidRPr="00F551C1">
              <w:rPr>
                <w:sz w:val="24"/>
                <w:szCs w:val="24"/>
                <w:u w:val="single"/>
              </w:rPr>
              <w:fldChar w:fldCharType="end"/>
            </w:r>
            <w:bookmarkEnd w:id="3"/>
            <w:r w:rsidR="00326F8A" w:rsidRPr="00F551C1">
              <w:rPr>
                <w:rStyle w:val="LicenseNumSuperChar"/>
                <w:sz w:val="24"/>
                <w:szCs w:val="24"/>
                <w:vertAlign w:val="superscript"/>
              </w:rPr>
              <w:footnoteReference w:id="3"/>
            </w:r>
          </w:p>
          <w:p w:rsidR="00EE46E1" w:rsidRPr="00F551C1" w:rsidRDefault="00EE46E1" w:rsidP="00172E20">
            <w:pPr>
              <w:pStyle w:val="LicenseNumberChar"/>
              <w:spacing w:before="120" w:after="120"/>
              <w:rPr>
                <w:sz w:val="24"/>
                <w:szCs w:val="24"/>
              </w:rPr>
            </w:pPr>
          </w:p>
        </w:tc>
      </w:tr>
      <w:tr w:rsidR="00EE46E1" w:rsidRPr="00DA4990" w:rsidTr="005435F9">
        <w:trPr>
          <w:trHeight w:val="513"/>
        </w:trPr>
        <w:tc>
          <w:tcPr>
            <w:tcW w:w="9558" w:type="dxa"/>
            <w:shd w:val="clear" w:color="auto" w:fill="000080"/>
            <w:vAlign w:val="center"/>
          </w:tcPr>
          <w:p w:rsidR="00EE46E1" w:rsidRPr="00F551C1"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F551C1">
              <w:rPr>
                <w:rFonts w:ascii="Tahoma" w:eastAsia="MS Mincho" w:hAnsi="Tahoma" w:cs="Tahoma"/>
                <w:b/>
                <w:color w:val="auto"/>
                <w:sz w:val="19"/>
                <w:szCs w:val="19"/>
              </w:rPr>
              <w:t>CONTRATTO DI LICENZA CON L’UTENTE FINALE</w:t>
            </w:r>
          </w:p>
        </w:tc>
      </w:tr>
    </w:tbl>
    <w:p w:rsidR="00EE46E1" w:rsidRPr="00F551C1" w:rsidRDefault="00EE46E1" w:rsidP="00EE46E1">
      <w:pPr>
        <w:spacing w:before="120" w:after="120"/>
      </w:pPr>
      <w:r w:rsidRPr="00F551C1">
        <w:rPr>
          <w:b/>
          <w:sz w:val="20"/>
        </w:rPr>
        <w:t xml:space="preserve">QUALORA IL LICENZIANTE RISIEDA (O IL LUOGO PRINCIPALE IN CUI SVOLGE LA PROPRIA ATTIVITÀ SI TROVI) NEGLI STATI UNITI, DOVRÀ LEGGERE LA CLAUSOLA DI ARBITRATO VINCOLANTE E LA RINUNCIA ALL’AZIONE DI CATEGORIA NELL’ARTICOLO </w:t>
      </w:r>
      <w:r w:rsidRPr="00F551C1">
        <w:rPr>
          <w:b/>
          <w:sz w:val="20"/>
          <w:szCs w:val="20"/>
        </w:rPr>
        <w:t>8</w:t>
      </w:r>
      <w:r w:rsidRPr="00F551C1">
        <w:rPr>
          <w:b/>
          <w:sz w:val="20"/>
        </w:rPr>
        <w:t>, CHE RIGUARDA LA MODALITÀ DI RISOLUZIONE DELLE CONTROVERSIE</w:t>
      </w:r>
      <w:r w:rsidRPr="00F551C1">
        <w:rPr>
          <w:b/>
          <w:sz w:val="20"/>
          <w:szCs w:val="20"/>
        </w:rPr>
        <w:t xml:space="preserve"> CON IL LICENZIANTE O MICROSOFT</w:t>
      </w:r>
      <w:r w:rsidRPr="00F551C1">
        <w:rPr>
          <w:b/>
          <w:sz w:val="20"/>
        </w:rPr>
        <w:t>.</w:t>
      </w:r>
    </w:p>
    <w:p w:rsidR="00EE46E1" w:rsidRPr="00F551C1" w:rsidRDefault="00EE46E1" w:rsidP="00EE46E1">
      <w:pPr>
        <w:spacing w:before="120" w:after="120"/>
      </w:pPr>
      <w:r w:rsidRPr="00F551C1">
        <w:rPr>
          <w:b/>
          <w:sz w:val="20"/>
        </w:rPr>
        <w:t xml:space="preserve">Grazie per aver scelto </w:t>
      </w:r>
      <w:r w:rsidRPr="00F551C1">
        <w:rPr>
          <w:b/>
          <w:sz w:val="20"/>
          <w:szCs w:val="20"/>
        </w:rPr>
        <w:t xml:space="preserve">un’applicazione software che include </w:t>
      </w:r>
      <w:r w:rsidRPr="00F551C1">
        <w:rPr>
          <w:b/>
          <w:sz w:val="20"/>
        </w:rPr>
        <w:t>Microsoft</w:t>
      </w:r>
      <w:r w:rsidRPr="00F551C1">
        <w:rPr>
          <w:b/>
          <w:sz w:val="20"/>
          <w:szCs w:val="20"/>
        </w:rPr>
        <w:t xml:space="preserve"> </w:t>
      </w:r>
      <w:r w:rsidR="00A330B2">
        <w:rPr>
          <w:b/>
          <w:sz w:val="20"/>
          <w:szCs w:val="20"/>
        </w:rPr>
        <w:t>Outlook</w:t>
      </w:r>
      <w:r w:rsidRPr="00F551C1">
        <w:rPr>
          <w:b/>
          <w:sz w:val="20"/>
          <w:szCs w:val="20"/>
        </w:rPr>
        <w:t>.</w:t>
      </w:r>
    </w:p>
    <w:p w:rsidR="00EE46E1" w:rsidRPr="00F551C1" w:rsidRDefault="00EE46E1" w:rsidP="00EE46E1">
      <w:pPr>
        <w:spacing w:before="120" w:after="120"/>
        <w:rPr>
          <w:sz w:val="20"/>
          <w:szCs w:val="20"/>
        </w:rPr>
      </w:pPr>
      <w:r w:rsidRPr="00F551C1">
        <w:rPr>
          <w:sz w:val="20"/>
          <w:szCs w:val="20"/>
        </w:rPr>
        <w:t>Il presente contratto di licenza viene stipulato tra il licenziatario e il licenziante dell’applicazione software o della famiglia di applicazioni presso cui il licenziatario ha acquistato il software Microsoft (“Licenziante”).</w:t>
      </w:r>
    </w:p>
    <w:p w:rsidR="00EE46E1" w:rsidRPr="00F551C1" w:rsidRDefault="00EE46E1" w:rsidP="00EE46E1">
      <w:pPr>
        <w:spacing w:before="120" w:after="120"/>
        <w:rPr>
          <w:sz w:val="20"/>
          <w:szCs w:val="20"/>
        </w:rPr>
      </w:pPr>
      <w:r w:rsidRPr="00F551C1">
        <w:rPr>
          <w:sz w:val="20"/>
          <w:szCs w:val="20"/>
        </w:rPr>
        <w:t xml:space="preserve">Nel presente contratto sono descritti i diritti del licenziatario e le condizioni ai sensi delle quali il licenziatario potrà utilizzare il software Microsoft </w:t>
      </w:r>
      <w:r w:rsidR="00A330B2">
        <w:rPr>
          <w:sz w:val="20"/>
          <w:szCs w:val="20"/>
        </w:rPr>
        <w:t>Outlook</w:t>
      </w:r>
      <w:r w:rsidRPr="00F551C1">
        <w:rPr>
          <w:sz w:val="20"/>
          <w:szCs w:val="20"/>
        </w:rPr>
        <w:t>. Il licenziatario dovrà rivedere l’intero accordo, incluse eventuali condizioni di licenza stampate fornite con il software ed eventuali condizioni collegate, poiché tutte le condizioni sono importanti e nel loro insieme costituiscono il presente contratto applicabile al licenziatario. Il licenziatario può prendere visione delle condizioni accessibili tramite collegamento copiando il collegamento in una finestra del browser.</w:t>
      </w:r>
    </w:p>
    <w:p w:rsidR="00EE46E1" w:rsidRPr="00F551C1" w:rsidRDefault="00EE46E1" w:rsidP="00EE46E1">
      <w:pPr>
        <w:spacing w:before="120" w:after="120"/>
        <w:rPr>
          <w:sz w:val="20"/>
          <w:szCs w:val="20"/>
        </w:rPr>
      </w:pPr>
      <w:r w:rsidRPr="00F551C1">
        <w:rPr>
          <w:b/>
          <w:sz w:val="20"/>
          <w:szCs w:val="20"/>
        </w:rPr>
        <w:t xml:space="preserve">Accettando il presente contratto o utilizzando il software, il licenziatario ne accetta tutte le condizioni e acconsente alla trasmissione di alcune informazioni durante l’attivazione e durante l’utilizzo del software in conformità all’Informativa sulla Privacy di Microsoft descritta all’Articolo 4. Qualora il licenziatario non accetti le presenti condizioni e non vi si conformi, non potrà utilizzare il software né le relative funzionalità. </w:t>
      </w:r>
      <w:r w:rsidRPr="00F551C1">
        <w:rPr>
          <w:sz w:val="20"/>
          <w:szCs w:val="20"/>
        </w:rPr>
        <w:t xml:space="preserve">Il licenziatario potrà contattare il </w:t>
      </w:r>
      <w:r w:rsidRPr="00F551C1">
        <w:rPr>
          <w:bCs/>
          <w:sz w:val="20"/>
          <w:szCs w:val="20"/>
        </w:rPr>
        <w:t>luogo presso il quale</w:t>
      </w:r>
      <w:r w:rsidRPr="00F551C1">
        <w:rPr>
          <w:sz w:val="20"/>
          <w:szCs w:val="20"/>
        </w:rPr>
        <w:t xml:space="preserve"> ha acquistato la licenza per il </w:t>
      </w:r>
      <w:r w:rsidRPr="00F551C1">
        <w:rPr>
          <w:bCs/>
          <w:sz w:val="20"/>
          <w:szCs w:val="20"/>
        </w:rPr>
        <w:t>software</w:t>
      </w:r>
      <w:r w:rsidRPr="00F551C1">
        <w:rPr>
          <w:sz w:val="20"/>
          <w:szCs w:val="20"/>
        </w:rPr>
        <w:t xml:space="preserve"> per conoscere le modalità di restituzione del software e di rimborso del prezzo.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bookmarkStart w:id="4" w:name="OLE_LINK1"/>
      <w:bookmarkStart w:id="5" w:name="OLE_LINK2"/>
      <w:bookmarkStart w:id="6" w:name="OLE_LINK3"/>
      <w:r w:rsidRPr="00F551C1">
        <w:rPr>
          <w:b/>
          <w:bCs/>
          <w:sz w:val="20"/>
          <w:szCs w:val="20"/>
        </w:rPr>
        <w:t>PREMESSE.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Ambito di applicazione. </w:t>
      </w:r>
      <w:r w:rsidRPr="00F551C1">
        <w:rPr>
          <w:sz w:val="20"/>
          <w:szCs w:val="20"/>
        </w:rPr>
        <w:t xml:space="preserve">Il presente contratto si applica al software </w:t>
      </w:r>
      <w:r w:rsidRPr="00F551C1">
        <w:rPr>
          <w:bCs/>
          <w:sz w:val="20"/>
          <w:szCs w:val="20"/>
        </w:rPr>
        <w:t xml:space="preserve">Microsoft </w:t>
      </w:r>
      <w:r w:rsidR="00A330B2">
        <w:rPr>
          <w:bCs/>
          <w:sz w:val="20"/>
          <w:szCs w:val="20"/>
        </w:rPr>
        <w:t>Outlook</w:t>
      </w:r>
      <w:r w:rsidRPr="00F551C1">
        <w:rPr>
          <w:sz w:val="20"/>
          <w:szCs w:val="20"/>
        </w:rPr>
        <w:t xml:space="preserve">, ai supporti di memorizzazione su cui il licenziatario ha ricevuto l’eventuale software, ai tipi di carattere, alle icone, alle immagini o ai file audio inclusi nel software, così come a qualsiasi aggiornamento, supplemento o servizio Microsoft relativo al software, a meno che questi non siano accompagnati da condizioni specifiche.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Condizioni aggiuntive. </w:t>
      </w:r>
      <w:r w:rsidRPr="00F551C1">
        <w:rPr>
          <w:bCs/>
          <w:sz w:val="20"/>
          <w:szCs w:val="20"/>
        </w:rPr>
        <w:t>L’utilizzo</w:t>
      </w:r>
      <w:r w:rsidRPr="00F551C1">
        <w:rPr>
          <w:sz w:val="20"/>
          <w:szCs w:val="20"/>
        </w:rPr>
        <w:t xml:space="preserve"> da parte del licenziatario di alcuni servizi, funzionalità e app potrà essere soggetto a condizioni aggiuntive di Microsoft e di terzi. </w:t>
      </w:r>
    </w:p>
    <w:p w:rsidR="00EE46E1" w:rsidRPr="00F551C1" w:rsidRDefault="00EE46E1" w:rsidP="00EE46E1">
      <w:pPr>
        <w:pStyle w:val="ListParagraph"/>
        <w:numPr>
          <w:ilvl w:val="0"/>
          <w:numId w:val="2"/>
        </w:numPr>
        <w:tabs>
          <w:tab w:val="left" w:pos="1080"/>
        </w:tabs>
        <w:spacing w:before="120" w:after="120"/>
        <w:ind w:left="1080" w:hanging="360"/>
        <w:contextualSpacing w:val="0"/>
        <w:rPr>
          <w:sz w:val="20"/>
          <w:szCs w:val="20"/>
        </w:rPr>
      </w:pPr>
      <w:r w:rsidRPr="00F551C1">
        <w:rPr>
          <w:sz w:val="20"/>
          <w:szCs w:val="20"/>
        </w:rPr>
        <w:t xml:space="preserve">Alcune funzionalità del software forniscono un punto di accesso ai servizi online o si basano </w:t>
      </w:r>
      <w:r w:rsidRPr="00F551C1">
        <w:rPr>
          <w:sz w:val="20"/>
          <w:szCs w:val="20"/>
        </w:rPr>
        <w:lastRenderedPageBreak/>
        <w:t>su di essi. L’utilizzo di tali servizi è talvolta disciplinato da condizioni e informative sulla</w:t>
      </w:r>
      <w:r w:rsidRPr="00F551C1">
        <w:rPr>
          <w:sz w:val="20"/>
        </w:rPr>
        <w:t xml:space="preserve"> </w:t>
      </w:r>
      <w:r w:rsidRPr="00F551C1">
        <w:rPr>
          <w:sz w:val="20"/>
          <w:szCs w:val="20"/>
        </w:rPr>
        <w:t xml:space="preserve">privacy specifiche, quali il Contratto di Servizi Microsoft all’indirizzo </w:t>
      </w:r>
      <w:r w:rsidRPr="00F551C1">
        <w:rPr>
          <w:sz w:val="20"/>
          <w:szCs w:val="20"/>
          <w:u w:val="single"/>
        </w:rPr>
        <w:t>go.microsoft.com/fwlink/?linkid=</w:t>
      </w:r>
      <w:r w:rsidRPr="00DA4990">
        <w:rPr>
          <w:color w:val="000000"/>
          <w:sz w:val="20"/>
          <w:szCs w:val="20"/>
          <w:u w:val="single"/>
        </w:rPr>
        <w:t>530144</w:t>
      </w:r>
      <w:r w:rsidRPr="00F551C1">
        <w:rPr>
          <w:sz w:val="20"/>
          <w:szCs w:val="20"/>
        </w:rPr>
        <w:t>. Il licenziatario può prendere visione di tali condizioni e informative consultando le condizioni per l’utilizzo. I servizi potrebbero non essere disponibili in tutti i paesi.</w:t>
      </w:r>
    </w:p>
    <w:p w:rsidR="00EE46E1" w:rsidRPr="00F551C1" w:rsidRDefault="00EE46E1" w:rsidP="00EE46E1">
      <w:pPr>
        <w:pStyle w:val="ListParagraph"/>
        <w:numPr>
          <w:ilvl w:val="0"/>
          <w:numId w:val="2"/>
        </w:numPr>
        <w:tabs>
          <w:tab w:val="left" w:pos="1080"/>
        </w:tabs>
        <w:spacing w:before="120" w:after="120"/>
        <w:ind w:left="1080" w:hanging="360"/>
        <w:contextualSpacing w:val="0"/>
        <w:rPr>
          <w:sz w:val="20"/>
          <w:szCs w:val="20"/>
        </w:rPr>
      </w:pPr>
      <w:r w:rsidRPr="00F551C1">
        <w:rPr>
          <w:sz w:val="20"/>
          <w:szCs w:val="20"/>
        </w:rPr>
        <w:t>Il software potrà includere programmi di terzi che Microsoft, non i terzi, concede in licenza al licenziatario ai sensi del presente contratto. Eventuali comunicazioni per il programma di terzi sono incluse solo a scopo informativo.</w:t>
      </w:r>
    </w:p>
    <w:p w:rsidR="00EE46E1" w:rsidRPr="00F551C1" w:rsidRDefault="00EE46E1" w:rsidP="00EE46E1">
      <w:pPr>
        <w:pStyle w:val="ListParagraph"/>
        <w:numPr>
          <w:ilvl w:val="0"/>
          <w:numId w:val="2"/>
        </w:numPr>
        <w:tabs>
          <w:tab w:val="left" w:pos="1080"/>
        </w:tabs>
        <w:spacing w:before="120" w:after="120"/>
        <w:ind w:left="1080" w:hanging="360"/>
        <w:contextualSpacing w:val="0"/>
        <w:rPr>
          <w:sz w:val="20"/>
          <w:szCs w:val="20"/>
        </w:rPr>
      </w:pPr>
      <w:r w:rsidRPr="00F551C1">
        <w:rPr>
          <w:sz w:val="20"/>
          <w:szCs w:val="20"/>
        </w:rPr>
        <w:t>Mentre il software è in esecuzione, il licenziatario potrà utilizzare i relativi tipi di carattere per visualizzare e stampare il contenuto. Il licenziatario potrà scaricare temporaneamente i tipi di carattere su una stampante o altro dispositivo di output per stampare il contenuto e potrà incorporare i tipi di carattere nel contenuto solo nella misura consentita dalle limitazioni di inserimento dei tipi di carattere.</w:t>
      </w:r>
    </w:p>
    <w:bookmarkEnd w:id="4"/>
    <w:bookmarkEnd w:id="5"/>
    <w:bookmarkEnd w:id="6"/>
    <w:p w:rsidR="00EE46E1" w:rsidRPr="00F551C1" w:rsidRDefault="00EE46E1" w:rsidP="00EE46E1">
      <w:pPr>
        <w:pStyle w:val="ListParagraph"/>
        <w:numPr>
          <w:ilvl w:val="0"/>
          <w:numId w:val="3"/>
        </w:numPr>
        <w:tabs>
          <w:tab w:val="left" w:pos="360"/>
        </w:tabs>
        <w:spacing w:before="120" w:after="120"/>
        <w:ind w:left="360"/>
        <w:contextualSpacing w:val="0"/>
      </w:pPr>
      <w:r w:rsidRPr="00F551C1">
        <w:rPr>
          <w:b/>
          <w:bCs/>
          <w:sz w:val="20"/>
          <w:szCs w:val="20"/>
        </w:rPr>
        <w:t>INSTALLAZIONE E DIRITTI DI UTILIZZO.</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Licenza.</w:t>
      </w:r>
      <w:r w:rsidRPr="00F551C1">
        <w:rPr>
          <w:sz w:val="20"/>
          <w:szCs w:val="20"/>
        </w:rPr>
        <w:t xml:space="preserve"> Il software non viene venduto, ma è concesso in licenza. Purché il licenziatario si conformi a tutte le condizioni contenute nel presente contratto, Microsoft gli concede il diritto di installarne ed eseguirne una sola istanza sul dispositivo in uso (il dispositivo con licenza), che può essere utilizzata da una sola persona alla volta. Il licenziatario dovrà prendere visione degli Articoli 11-13, che seguono</w:t>
      </w:r>
      <w:r w:rsidRPr="00F551C1">
        <w:rPr>
          <w:bCs/>
          <w:sz w:val="20"/>
          <w:szCs w:val="20"/>
        </w:rPr>
        <w:t>,</w:t>
      </w:r>
      <w:r w:rsidRPr="00F551C1">
        <w:rPr>
          <w:sz w:val="20"/>
          <w:szCs w:val="20"/>
        </w:rPr>
        <w:t xml:space="preserve"> per le licenze e le condizioni specifiche delle versioni con diritti limitati, di alcune aree geografiche e di edizioni speciali del software. L’aggiornamento di software non originale con software proveniente da Microsoft o da fonti autorizzate non rende originale la versione iniziale né la versione aggiornata e in tal caso il licenziatario non dispone di una licenza per l’utilizzo del software.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Dispositivo.</w:t>
      </w:r>
      <w:r w:rsidRPr="00F551C1">
        <w:rPr>
          <w:sz w:val="20"/>
          <w:szCs w:val="20"/>
        </w:rPr>
        <w:t xml:space="preserve"> Nel presente contratto “dispositivo” indica un sistema hardware (fisico o virtuale) con un dispositivo di archiviazione interno in grado di eseguire il software. Una partizione hardware o un blade è considerato un dispositivo.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Restrizioni. </w:t>
      </w:r>
      <w:r w:rsidRPr="00F551C1">
        <w:rPr>
          <w:sz w:val="20"/>
          <w:szCs w:val="20"/>
        </w:rPr>
        <w:t>Il licenziante e Microsoft si riservano tutti i diritti (tra cui i diritti ai sensi delle leggi che disciplinano la proprietà intellettuale) non espressamente concessi nel presente contratto. Ad esempio, la presente licenza non concede alcun diritto al licenziatario e il licenziatario non potrà:</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utilizzare o virtualizzare alcune funzionalità del software separatamente;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pubblicare, duplicare, noleggiare, concedere in locazione o in prestito il software;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trasferire il software (salvo nei modi previsti dal presente contratto);</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aggirare le restrizioni o le limitazioni tecniche presenti nel software;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utilizzare il software come software server, per l’hosting di servizi commerciali, renderlo disponibile per l’uso simultaneo da parte di più utenti su una rete, installarlo su un server e consentire agli utenti di accedervi da remoto o installarlo su un dispositivo per l’utilizzo solo da parte di utenti remoti;</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decompilare o disassemblare il software né tentare di farlo, salvo nei casi in cui le leggi del suo Paese di residenza (o, nel caso di una società, del luogo principale in cui la società svolge la propria attività)lo consentano, anche quando il presente contratto lo vieti. In tal caso, il licenziatario potrà effettuare unicamente quanto consentito dalla legge applicabile o</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in caso di utilizzo di funzionalità basate su Internet, il licenziatario non potrà in alcun modo interferire con l’uso delle stesse da parte di terzi, né tentare di ottenere, senza autorizzazione, l’accesso a qualsiasi servizio, dato, rete o account oppure di utilizzarlo.</w:t>
      </w:r>
    </w:p>
    <w:p w:rsidR="00EE46E1" w:rsidRPr="00F551C1" w:rsidRDefault="00EE46E1" w:rsidP="00EE46E1">
      <w:pPr>
        <w:pStyle w:val="ListParagraph"/>
        <w:numPr>
          <w:ilvl w:val="1"/>
          <w:numId w:val="3"/>
        </w:numPr>
        <w:tabs>
          <w:tab w:val="left" w:pos="720"/>
        </w:tabs>
        <w:spacing w:before="120" w:after="120"/>
        <w:ind w:left="720"/>
        <w:contextualSpacing w:val="0"/>
      </w:pPr>
      <w:r w:rsidRPr="00F551C1">
        <w:rPr>
          <w:b/>
          <w:bCs/>
          <w:sz w:val="20"/>
          <w:szCs w:val="20"/>
        </w:rPr>
        <w:t>Opzioni</w:t>
      </w:r>
      <w:r w:rsidRPr="00F551C1">
        <w:rPr>
          <w:b/>
          <w:sz w:val="20"/>
        </w:rPr>
        <w:t xml:space="preserve"> multiutente.</w:t>
      </w:r>
    </w:p>
    <w:p w:rsidR="00EE46E1" w:rsidRPr="00F551C1" w:rsidRDefault="00EE46E1" w:rsidP="00C76167">
      <w:pPr>
        <w:pStyle w:val="ListParagraph"/>
        <w:numPr>
          <w:ilvl w:val="2"/>
          <w:numId w:val="3"/>
        </w:numPr>
        <w:tabs>
          <w:tab w:val="left" w:pos="1080"/>
        </w:tabs>
        <w:spacing w:before="120" w:after="120"/>
        <w:contextualSpacing w:val="0"/>
        <w:rPr>
          <w:sz w:val="20"/>
          <w:szCs w:val="20"/>
        </w:rPr>
      </w:pPr>
      <w:r w:rsidRPr="00F551C1">
        <w:rPr>
          <w:b/>
          <w:sz w:val="20"/>
          <w:szCs w:val="20"/>
        </w:rPr>
        <w:t>Versioni multiple.</w:t>
      </w:r>
      <w:r w:rsidRPr="00F551C1">
        <w:rPr>
          <w:sz w:val="20"/>
          <w:szCs w:val="20"/>
        </w:rPr>
        <w:t xml:space="preserve"> Nel caso in </w:t>
      </w:r>
      <w:r w:rsidR="00C76167" w:rsidRPr="00C76167">
        <w:rPr>
          <w:sz w:val="20"/>
          <w:szCs w:val="20"/>
        </w:rPr>
        <w:t>cui, al</w:t>
      </w:r>
      <w:r w:rsidRPr="00F551C1">
        <w:rPr>
          <w:sz w:val="20"/>
          <w:szCs w:val="20"/>
        </w:rPr>
        <w:t xml:space="preserve"> momento dell’acquisto, al licenziatario siano state fornite più versioni, ad esempio le versioni a 32 bit e a 64 bit, il licenziatario ne potrà installare e attivare solo una alla volta.</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Connessioni multiple o in pool.</w:t>
      </w:r>
      <w:r w:rsidRPr="00F551C1">
        <w:rPr>
          <w:sz w:val="20"/>
          <w:szCs w:val="20"/>
        </w:rPr>
        <w:t xml:space="preserve"> Il licenziatario non potrà utilizzare l’hardware o il software per il multiplexing o il pooling delle connessioni o per consentire a più utenti, computer o dispositivi di accedere al software o utilizzarlo indirettamente tramite il computer con licenza.</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Utilizzo in un ambiente virtualizzato.</w:t>
      </w:r>
      <w:r w:rsidRPr="00F551C1">
        <w:rPr>
          <w:sz w:val="20"/>
          <w:szCs w:val="20"/>
        </w:rPr>
        <w:t xml:space="preserve"> La presente licenza consente al licenziatario di installare una sola istanza del software da utilizzare su un dispositivo, sia che si tratti di un dispositivo fisico che virtuale. Qualora il licenziatario intenda utilizzare il software su più di un dispositivo virtuale, dovrà ottenere una licenza specifica per ciascuna istanza.</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Accesso remoto.</w:t>
      </w:r>
      <w:r w:rsidRPr="00F551C1">
        <w:rPr>
          <w:sz w:val="20"/>
          <w:szCs w:val="20"/>
        </w:rPr>
        <w:t xml:space="preserve"> Il licenziatario potrà accedere al software installato sul dispositivo con licenza da un altro dispositivo tramite le tecnologie di accesso remoto e utilizzarlo, a condizione che il software installato sul dispositivo con licenza non venga contemporaneamente usato in locale da un altro utente. Altri utenti, in momenti diversi, potranno accedere al dispositivo con licenza da un altro dispositivo tramite le tecnologie di accesso remoto, ma solo su dispositivi dotati di una licenza specifica per eseguire un’edizione identica o successiva di questo software.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Remote Assistance.</w:t>
      </w:r>
      <w:r w:rsidRPr="00F551C1">
        <w:rPr>
          <w:sz w:val="20"/>
          <w:szCs w:val="20"/>
        </w:rPr>
        <w:t xml:space="preserve"> Il licenziatario potrà utilizzare le tecnologie di assistenza remota per condividere una sessione attiva senza dover ottenere ulteriori licenze per il software. Assistenza remota consente a un utente di connettersi direttamente al dispositivo di un altro utente, in genere per correggere eventuali problemi.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Copia di backup. </w:t>
      </w:r>
      <w:r w:rsidRPr="00F551C1">
        <w:rPr>
          <w:sz w:val="20"/>
          <w:szCs w:val="20"/>
        </w:rPr>
        <w:t xml:space="preserve">Il licenziatario potrà ordinare o scaricare una copia di backup del software dall’indirizzo </w:t>
      </w:r>
      <w:r w:rsidRPr="00F551C1">
        <w:rPr>
          <w:sz w:val="20"/>
          <w:szCs w:val="20"/>
          <w:u w:val="single"/>
        </w:rPr>
        <w:t>office.com/backup</w:t>
      </w:r>
      <w:r w:rsidRPr="00F551C1">
        <w:rPr>
          <w:sz w:val="20"/>
          <w:szCs w:val="20"/>
        </w:rPr>
        <w:t xml:space="preserve"> e potrà utilizzarla anche per trasferire il software, qualora sia stato acquistato presso un rivenditore nella modalità descritta sotto.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TRASFERIMENTO A TERZI.</w:t>
      </w:r>
      <w:r w:rsidRPr="00F551C1">
        <w:rPr>
          <w:b/>
          <w:sz w:val="20"/>
          <w:szCs w:val="20"/>
        </w:rPr>
        <w:t xml:space="preserve"> </w:t>
      </w:r>
      <w:r w:rsidRPr="00F551C1">
        <w:rPr>
          <w:sz w:val="20"/>
          <w:szCs w:val="20"/>
        </w:rPr>
        <w:t>Le disposizioni del presente Articolo non sono applicabili qualora il licenziatario abbia acquistato il software nello Spazio Economico Europeo. In tal caso qualsiasi trasferimento del software</w:t>
      </w:r>
      <w:r w:rsidRPr="00F551C1">
        <w:rPr>
          <w:bCs/>
          <w:sz w:val="20"/>
          <w:szCs w:val="20"/>
        </w:rPr>
        <w:t>, nell’ambito di un trasferimento dell’applicazione o della famiglia di applicazioni software integrate chiavi in mano (la “Soluzione Unificata”) fornita al licenziatario da o per conto del licenziante esclusivamente insieme alla Soluzione Unificata,</w:t>
      </w:r>
      <w:r w:rsidRPr="00F551C1">
        <w:rPr>
          <w:sz w:val="20"/>
          <w:szCs w:val="20"/>
        </w:rPr>
        <w:t xml:space="preserve"> e il diritto di utilizzarlo dovranno essere conformi alla legge applicabile.</w:t>
      </w:r>
      <w:r w:rsidRPr="00F551C1">
        <w:rPr>
          <w:b/>
          <w:sz w:val="20"/>
          <w:szCs w:val="20"/>
        </w:rPr>
        <w:t xml:space="preserve">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Cs/>
          <w:sz w:val="20"/>
          <w:szCs w:val="20"/>
        </w:rPr>
        <w:t>Il</w:t>
      </w:r>
      <w:r w:rsidRPr="00F551C1">
        <w:rPr>
          <w:sz w:val="20"/>
          <w:szCs w:val="20"/>
        </w:rPr>
        <w:t xml:space="preserve"> licenziatario potrà trasferire il software in un altro dispositivo di sua proprietà, ma limitatamente a una volta ogni 90 giorni (nei casi in cui si verifichi un guasto hardware il trasferimento potrà avvenire prima). Qualora il licenziatario trasferisca il software in un altro dispositivo, tale altro dispositivo diventerà il “dispositivo con licenza”. Il licenziatario potrà inoltre trasferire il software su un dispositivo di proprietà di un’altra persona qualora (i) il licenziatario sia il primo utente con licenza del software, (ii) il nuovo utente accetti le condizioni del presente contratto e (iii) il trasferimento del software e della licenza faccia parte di un trasferimento dell’applicazione o della famiglia di applicazioni software integrate chiavi in mano (la “Soluzione Unificata”) fornita al licenziatario da o per conto del licenziante esclusivamente nell’ambito della Soluzione Unificata. Il primo utente non potrà più trattenere alcuna copia del software. Prima del trasferimento autorizzato, l’utente finale dovrà accettare che il presente contratto si applichi al trasferimento e all’utilizzo del software. Qualora il software sia un aggiornamento, qualsiasi trasferimento dovrà comprendere anche tutte le versioni precedenti del software. Per effettuare il trasferimento, il licenziatario dovrà trasferire i supporti di memorizzazione originali, il Certificato di Autenticità (Certificate of Authenticity o COA), se applicabile, il codice Product Key e la prova di acquisto direttamente all’altra persona, senza trattenere alcuna copia del software. Ogni volta che il licenziatario trasferisce il software su un dispositivo nuovo, lo dovrà rimuovere dal dispositivo precedente. Il licenziatario non potrà trasferire il software con l’intento di condividere le licenze su più dispositivi.</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DIRITTO ALLA PROTEZIONE DEI DATI PERSONALI; CONSENSO ALL’UTILIZZO DEI DATI.</w:t>
      </w:r>
      <w:r w:rsidRPr="00F551C1">
        <w:rPr>
          <w:sz w:val="20"/>
          <w:szCs w:val="20"/>
        </w:rPr>
        <w:t xml:space="preserve"> Microsoft tutela il diritto alla protezione dei dati personali del licenziatario. Utilizzando alcune funzionalità software il licenziatario invia o riceve i suddetti dati. Molte di queste funzionalità possono essere disattivate nell’interfaccia utente oppure il licenziatario può decidere di non utilizzarle. Accettando il presente contratto e utilizzando il software, il licenziatario accetta che Microsoft possa raccogliere, trattare e divulgare i dati come descritto nell’Informativa sulla Privacy di Microsoft disponibile all’indirizzo </w:t>
      </w:r>
      <w:r w:rsidRPr="00F551C1">
        <w:rPr>
          <w:sz w:val="20"/>
          <w:szCs w:val="20"/>
          <w:u w:val="single"/>
        </w:rPr>
        <w:t>go.microsoft.com/fwlink/?linkid=507380</w:t>
      </w:r>
      <w:r w:rsidRPr="00F551C1">
        <w:rPr>
          <w:sz w:val="20"/>
          <w:szCs w:val="20"/>
        </w:rPr>
        <w:t xml:space="preserve"> e come eventualmente indicato nell’interfaccia utente associata alle funzionalità software.</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SOFTWARE AUTORIZZATO E ATTIVAZIONE.</w:t>
      </w:r>
      <w:r w:rsidRPr="00F551C1">
        <w:rPr>
          <w:sz w:val="20"/>
          <w:szCs w:val="20"/>
        </w:rPr>
        <w:t xml:space="preserve"> Il licenziatario è autorizzato a utilizzare il presente software solo qualora sia in possesso di una licenza appropriata e il software sia stato correttamente attivato con un codice Product Key originale o con un altro metodo approvato. Quando il licenziatario si connetterà a Internet durante l’utilizzo del software, Microsoft o una sua consociata verrà contattata automaticamente per verificare che il software sia originale e che la licenza sia associata al dispositivo con licenza. Il licenziatario può anche attivare il software manualmente tramite Internet o per telefono. In entrambi i casi potrà avere luogo la trasmissione di determinati dati e potrebbero essere addebitati i costi della connessione a Internet, della telefonata e del servizio SMS. Durante l’attivazione (o la riattivazione che potrà essere dovuta alle modifiche apportate ai componenti del dispositivo) è possibile che venga rilevato che un’istanza installata del software sia contraffatta, non disponga di regolare licenza oppure includa modifiche non autorizzate. Qualora l’attivazione non riesca, il software tenterà di riparare se stesso sostituendo eventuale software Microsoft alterato con software Microsoft originale. Il licenziatario potrà anche ricevere promemoria che lo invitino a procurarsi una regolare licenza per il software. Il licenziatario non potrà ignorare né eludere l’attivazione. Alcuni aggiornamenti, servizi di supporto e di altro tipo potrebbero essere offerti solo agli utenti di software Microsoft originale. </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AGGIORNAMENTI</w:t>
      </w:r>
      <w:r w:rsidRPr="00F551C1">
        <w:rPr>
          <w:b/>
          <w:sz w:val="20"/>
          <w:szCs w:val="20"/>
        </w:rPr>
        <w:t xml:space="preserve">. </w:t>
      </w:r>
      <w:r w:rsidRPr="00F551C1">
        <w:rPr>
          <w:sz w:val="20"/>
          <w:szCs w:val="20"/>
        </w:rPr>
        <w:t>Il software</w:t>
      </w:r>
      <w:r w:rsidRPr="00F551C1">
        <w:rPr>
          <w:b/>
          <w:sz w:val="20"/>
          <w:szCs w:val="20"/>
        </w:rPr>
        <w:t xml:space="preserve"> </w:t>
      </w:r>
      <w:r w:rsidRPr="00F551C1">
        <w:rPr>
          <w:sz w:val="20"/>
          <w:szCs w:val="20"/>
        </w:rPr>
        <w:t xml:space="preserve">controlla periodicamente la presenza di aggiornamenti e li scarica e installa per conto del licenziatario. Il licenziatario potrà ottenere gli aggiornamenti solo da Microsoft o da fonti autorizzate e accettando il presente contratto, il licenziatario accetta di ricevere tali tipi di aggiornamenti automatici senza alcuna ulteriore comunicazione. </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LIMITAZIONI GEOGRAFICHE E RELATIVE ALL’ESPORTAZIONE.</w:t>
      </w:r>
      <w:r w:rsidRPr="00F551C1">
        <w:rPr>
          <w:b/>
          <w:sz w:val="20"/>
          <w:szCs w:val="20"/>
        </w:rPr>
        <w:t xml:space="preserve"> </w:t>
      </w:r>
      <w:r w:rsidRPr="00F551C1">
        <w:rPr>
          <w:sz w:val="20"/>
          <w:szCs w:val="20"/>
        </w:rPr>
        <w:t xml:space="preserve">Qualora l’utilizzo del software sia limitato a una particolare area geografica, il licenziatario potrà attivare il software solo in quell’area. Il licenziatario dovrà anche conformarsi a tutte le leggi e a tutti i regolamenti nazionali e internazionali in materia di esportazione applicabili al software, che includono limitazioni su destinazioni, utenti finali e utilizzo finale. Per ulteriori informazioni sulle limitazioni geografiche e relative all’esportazione, il licenziatario potrà visitare le pagine agli indirizzi </w:t>
      </w:r>
      <w:r w:rsidRPr="00F551C1">
        <w:rPr>
          <w:sz w:val="20"/>
          <w:szCs w:val="20"/>
          <w:u w:val="single"/>
        </w:rPr>
        <w:t>go.microsoft.com/fwlink/?linkid=141397</w:t>
      </w:r>
      <w:r w:rsidRPr="00F551C1">
        <w:rPr>
          <w:sz w:val="20"/>
          <w:szCs w:val="20"/>
        </w:rPr>
        <w:t xml:space="preserve"> e </w:t>
      </w:r>
      <w:r w:rsidRPr="00F551C1">
        <w:rPr>
          <w:sz w:val="20"/>
          <w:szCs w:val="20"/>
          <w:u w:val="single"/>
        </w:rPr>
        <w:t>microsoft.com/exporting</w:t>
      </w:r>
      <w:r w:rsidRPr="00F551C1">
        <w:rPr>
          <w:sz w:val="20"/>
          <w:szCs w:val="20"/>
        </w:rPr>
        <w:t>.</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 xml:space="preserve">ARBITRATO VINCOLANTE E RINUNCIA ALL’AZIONE DI CATEGORIA. </w:t>
      </w:r>
      <w:r w:rsidRPr="00F551C1">
        <w:rPr>
          <w:sz w:val="20"/>
          <w:szCs w:val="20"/>
        </w:rPr>
        <w:t>Il presente Articolo si applica al licenziatario solo nel caso in cui risieda (o, nel caso di una società, il luogo principale in cui la società svolge la propria attività sia) negli Stati Uniti (non applicabile ai residenti o alle società il cui luogo principale di attività si trovi al di fuori degli Stati Uniti).</w:t>
      </w:r>
    </w:p>
    <w:p w:rsidR="00EE46E1" w:rsidRPr="00F551C1" w:rsidRDefault="00EE46E1" w:rsidP="00EE46E1">
      <w:pPr>
        <w:spacing w:before="120" w:after="120"/>
        <w:ind w:left="360"/>
        <w:rPr>
          <w:spacing w:val="-1"/>
        </w:rPr>
      </w:pPr>
      <w:r w:rsidRPr="00F551C1">
        <w:rPr>
          <w:spacing w:val="-1"/>
          <w:sz w:val="20"/>
          <w:szCs w:val="20"/>
        </w:rPr>
        <w:t>Nell’eventualità di</w:t>
      </w:r>
      <w:r w:rsidRPr="00F551C1">
        <w:rPr>
          <w:spacing w:val="-1"/>
          <w:sz w:val="20"/>
        </w:rPr>
        <w:t xml:space="preserve"> una controversia il licenziatario e </w:t>
      </w:r>
      <w:r w:rsidRPr="00F551C1">
        <w:rPr>
          <w:spacing w:val="-1"/>
          <w:sz w:val="20"/>
          <w:szCs w:val="20"/>
        </w:rPr>
        <w:t>il licenziante</w:t>
      </w:r>
      <w:r w:rsidRPr="00F551C1">
        <w:rPr>
          <w:spacing w:val="-1"/>
          <w:sz w:val="20"/>
        </w:rPr>
        <w:t xml:space="preserve"> accettano di tentare di risolverla per vie informali per un periodo di 60 giorni. </w:t>
      </w:r>
      <w:r w:rsidRPr="00F551C1">
        <w:rPr>
          <w:spacing w:val="-1"/>
          <w:sz w:val="20"/>
          <w:szCs w:val="20"/>
        </w:rPr>
        <w:t>Qualora non sia possibile raggiungere una risoluzione per vie informali</w:t>
      </w:r>
      <w:r w:rsidRPr="00F551C1">
        <w:rPr>
          <w:spacing w:val="-1"/>
          <w:sz w:val="20"/>
        </w:rPr>
        <w:t xml:space="preserve">, il licenziatario e </w:t>
      </w:r>
      <w:r w:rsidRPr="00F551C1">
        <w:rPr>
          <w:spacing w:val="-1"/>
          <w:sz w:val="20"/>
          <w:szCs w:val="20"/>
        </w:rPr>
        <w:t>il licenziante</w:t>
      </w:r>
      <w:r w:rsidRPr="00F551C1">
        <w:rPr>
          <w:spacing w:val="-1"/>
          <w:sz w:val="20"/>
        </w:rPr>
        <w:t xml:space="preserve"> accettano di sottoporsi ad </w:t>
      </w:r>
      <w:r w:rsidRPr="00F551C1">
        <w:rPr>
          <w:b/>
          <w:spacing w:val="-1"/>
          <w:sz w:val="20"/>
        </w:rPr>
        <w:t>arbitrato vincolante su base individuale davanti all’American Arbitration Association (“AAA”) ai sensi del Federal Arbitration Act (“FAA”) e di non iniziare procedimenti giudiziari</w:t>
      </w:r>
      <w:r w:rsidRPr="00F551C1">
        <w:rPr>
          <w:spacing w:val="-1"/>
          <w:sz w:val="20"/>
        </w:rPr>
        <w:t xml:space="preserve">. Le controversie saranno invece risolte davanti a un arbitro neutrale, la cui decisione sarà definitiva, eccetto che per un limitato diritto di appello ai sensi del FAA. </w:t>
      </w:r>
      <w:r w:rsidRPr="00F551C1">
        <w:rPr>
          <w:b/>
          <w:spacing w:val="-1"/>
          <w:sz w:val="20"/>
        </w:rPr>
        <w:t>Cause per azioni di categoria, arbitrati su basi collettive, cause intentate da un singolo a beneficio di una collettività e qualsiasi altro procedimento legale, in cui qualcuno agisca in veste rappresentativa di altri, non sono consentiti. Non è consentito nemmeno riunire i singoli procedimenti senza il consenso di tutte le parti.</w:t>
      </w:r>
    </w:p>
    <w:p w:rsidR="00EE46E1" w:rsidRPr="00F551C1" w:rsidRDefault="00EE46E1" w:rsidP="00EE46E1">
      <w:pPr>
        <w:pStyle w:val="ListParagraph"/>
        <w:numPr>
          <w:ilvl w:val="1"/>
          <w:numId w:val="3"/>
        </w:numPr>
        <w:tabs>
          <w:tab w:val="left" w:pos="720"/>
        </w:tabs>
        <w:spacing w:before="120" w:after="120"/>
        <w:ind w:left="720"/>
        <w:contextualSpacing w:val="0"/>
        <w:rPr>
          <w:spacing w:val="-1"/>
          <w:sz w:val="20"/>
          <w:szCs w:val="20"/>
        </w:rPr>
      </w:pPr>
      <w:r w:rsidRPr="00F551C1">
        <w:rPr>
          <w:b/>
          <w:spacing w:val="-1"/>
          <w:sz w:val="20"/>
          <w:szCs w:val="20"/>
        </w:rPr>
        <w:t xml:space="preserve">Controversie oggetto della copertura: tutte, ad eccezione dell’IP. </w:t>
      </w:r>
      <w:r w:rsidRPr="00F551C1">
        <w:rPr>
          <w:spacing w:val="-1"/>
          <w:sz w:val="20"/>
          <w:szCs w:val="20"/>
        </w:rPr>
        <w:t xml:space="preserve">Il termine “controversia” è il più ampio possibile. Include qualsiasi reclamo o vertenza tra il licenziatario e il </w:t>
      </w:r>
      <w:r w:rsidRPr="00F551C1">
        <w:rPr>
          <w:bCs/>
          <w:spacing w:val="-1"/>
          <w:sz w:val="20"/>
          <w:szCs w:val="20"/>
        </w:rPr>
        <w:t>licenziante</w:t>
      </w:r>
      <w:r w:rsidRPr="00F551C1">
        <w:rPr>
          <w:spacing w:val="-1"/>
          <w:sz w:val="20"/>
          <w:szCs w:val="20"/>
        </w:rPr>
        <w:t xml:space="preserve"> oppure tra il licenziatario e Microsoft, riguardo al software, al suo prezzo o al presente contratto, ai sensi di qualsiasi fondamento giuridico, sia esso derivante dall’adempimento del contratto, della garanzia, da illecito civile, statuto o normativa, </w:t>
      </w:r>
      <w:r w:rsidRPr="00F551C1">
        <w:rPr>
          <w:b/>
          <w:spacing w:val="-1"/>
          <w:sz w:val="20"/>
          <w:szCs w:val="20"/>
        </w:rPr>
        <w:t>ad eccezione delle controversie relative all’applicazione o alla validità dei diritti di proprietà intellettuale del licenziatario, del licenziante del licenziatario, di Microsoft o del licenziante di Microsoft.</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Invio iniziale per posta di una</w:t>
      </w:r>
      <w:r w:rsidRPr="00F551C1">
        <w:rPr>
          <w:sz w:val="20"/>
          <w:szCs w:val="20"/>
        </w:rPr>
        <w:t xml:space="preserve"> </w:t>
      </w:r>
      <w:r w:rsidRPr="00F551C1">
        <w:rPr>
          <w:b/>
          <w:sz w:val="20"/>
          <w:szCs w:val="20"/>
        </w:rPr>
        <w:t>Comunicazione di Controversia.</w:t>
      </w:r>
      <w:r w:rsidRPr="00F551C1">
        <w:rPr>
          <w:sz w:val="20"/>
          <w:szCs w:val="20"/>
        </w:rPr>
        <w:t xml:space="preserve"> Qualora sia in corso una controversia con il licenziante, il licenziatario dovrà inviare una Comunicazione di Controversia mediante servizio postale statunitense al licenziante, all’attenzione dell’UFFICIO LEGALE. Trascorsi i 60 giorni, il licenziatario e il licenziante potranno avviare un arbitrato, qualora la controversia non sia stata risolta.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Ricorso al tribunale per le cause minori.</w:t>
      </w:r>
      <w:r w:rsidRPr="00F551C1">
        <w:rPr>
          <w:sz w:val="20"/>
          <w:szCs w:val="20"/>
        </w:rPr>
        <w:t xml:space="preserve"> Invece di inviare per posta una Comunicazione di Controversia e qualora il licenziatario soddisfi i requisiti del tribunale, potrà promuovere una causa presso il tribunale per le cause minori nel proprio Paese di residenza (o, nel caso di una società, presso il luogo principale in cui la società svolge la propria attività) o presso il luogo principale in cui il licenziante svolge la propria attività.</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Procedura di arbitrato. </w:t>
      </w:r>
      <w:r w:rsidRPr="00F551C1">
        <w:rPr>
          <w:sz w:val="20"/>
          <w:szCs w:val="20"/>
        </w:rPr>
        <w:t xml:space="preserve">L’AAA condurrà qualsiasi arbitrato in conformità alle proprie Regole di Arbitrato Commerciale (o qualora il licenziatario sia un individuo e utilizzi il software per uso personale o domestico oppure nel caso in cui il valore della controversia non superi i 75.000 USD, indipendentemente dal fatto che il licenziatario sia un individuo o dalla modalità di utilizzo del software, si applicheranno le Regole di Arbitrato per i Consumatori). Per ulteriori informazioni, il licenziatario potrà visitare la pagina </w:t>
      </w:r>
      <w:r w:rsidRPr="00F551C1">
        <w:rPr>
          <w:sz w:val="20"/>
          <w:szCs w:val="20"/>
          <w:u w:val="single"/>
        </w:rPr>
        <w:t>www.adr.org</w:t>
      </w:r>
      <w:r w:rsidRPr="00F551C1">
        <w:rPr>
          <w:sz w:val="20"/>
          <w:szCs w:val="20"/>
        </w:rPr>
        <w:t xml:space="preserve"> o chiamare il numero 1-800-778-7879. Per promuovere un arbitrato, il licenziatario potrà presentare all’AAA il modulo disponibile all’indirizzo </w:t>
      </w:r>
      <w:r w:rsidRPr="00F551C1">
        <w:rPr>
          <w:sz w:val="20"/>
          <w:szCs w:val="20"/>
          <w:u w:val="single"/>
        </w:rPr>
        <w:t>go.microsoft.com/fwlink/?linkid=245497</w:t>
      </w:r>
      <w:r w:rsidRPr="00F551C1">
        <w:rPr>
          <w:sz w:val="20"/>
          <w:szCs w:val="20"/>
        </w:rPr>
        <w:t>; una copia dovrà essere inviata al licenziante. Per le controversie non superiori a 25.000 USD l’udienza sarà telefonica, a meno che l’arbitro non ritenga ragionevole parlare di persona. Qualsiasi udienza di persona avrà luogo nel Paese di residenza del licenziatario (o, nel caso di una società, nel luogo principale in cui la società svolge la propria attività) o nel luogo principale in cui il licenziante svolge la propria attività principale. L’arbitro potrà liquidare al licenziatario gli stessi danni che il tribunale liquiderebbe. L’arbitro ha facoltà di emettere un provvedimento di accertamento o dell’autorità giudiziaria solo a favore del licenziatario individualmente per soddisfare il suo reclamo personale.</w:t>
      </w:r>
    </w:p>
    <w:p w:rsidR="00EE46E1" w:rsidRPr="00F551C1" w:rsidRDefault="00EE46E1" w:rsidP="00EE46E1">
      <w:pPr>
        <w:pStyle w:val="ListParagraph"/>
        <w:numPr>
          <w:ilvl w:val="1"/>
          <w:numId w:val="3"/>
        </w:numPr>
        <w:tabs>
          <w:tab w:val="left" w:pos="720"/>
        </w:tabs>
        <w:spacing w:before="120" w:after="120"/>
        <w:ind w:left="720"/>
        <w:contextualSpacing w:val="0"/>
      </w:pPr>
      <w:r w:rsidRPr="00F551C1">
        <w:rPr>
          <w:b/>
          <w:sz w:val="20"/>
        </w:rPr>
        <w:t>Corrispettivi e pagamenti relativi all’arbitrato.</w:t>
      </w:r>
    </w:p>
    <w:p w:rsidR="00EE46E1" w:rsidRPr="00F551C1" w:rsidRDefault="00EE46E1" w:rsidP="00EE46E1">
      <w:pPr>
        <w:pStyle w:val="ListParagraph"/>
        <w:numPr>
          <w:ilvl w:val="2"/>
          <w:numId w:val="3"/>
        </w:numPr>
        <w:tabs>
          <w:tab w:val="left" w:pos="1080"/>
        </w:tabs>
        <w:spacing w:before="120" w:after="120"/>
        <w:ind w:left="1080" w:hanging="360"/>
        <w:contextualSpacing w:val="0"/>
        <w:rPr>
          <w:spacing w:val="-1"/>
        </w:rPr>
      </w:pPr>
      <w:r w:rsidRPr="00F551C1">
        <w:rPr>
          <w:b/>
          <w:spacing w:val="-1"/>
          <w:sz w:val="20"/>
        </w:rPr>
        <w:t>Per le controversie non superiori a 75.000 USD.</w:t>
      </w:r>
      <w:r w:rsidRPr="00F551C1">
        <w:rPr>
          <w:spacing w:val="-1"/>
          <w:sz w:val="20"/>
        </w:rPr>
        <w:t xml:space="preserve"> Il </w:t>
      </w:r>
      <w:r w:rsidRPr="00F551C1">
        <w:rPr>
          <w:spacing w:val="-1"/>
          <w:sz w:val="20"/>
          <w:szCs w:val="20"/>
        </w:rPr>
        <w:t>licenziante</w:t>
      </w:r>
      <w:r w:rsidRPr="00F551C1">
        <w:rPr>
          <w:spacing w:val="-1"/>
          <w:sz w:val="20"/>
        </w:rPr>
        <w:t xml:space="preserve"> rimborserà tempestivamente le spese di notificazione e pagherà le spese e i corrispettivi dell’AAA e dell’arbitro. Nel caso in cui il licenziatario rifiuti l’ultima offerta scritta di accordo transattivo </w:t>
      </w:r>
      <w:r w:rsidRPr="00F551C1">
        <w:rPr>
          <w:spacing w:val="-1"/>
          <w:sz w:val="20"/>
          <w:szCs w:val="20"/>
        </w:rPr>
        <w:t>del licenziante</w:t>
      </w:r>
      <w:r w:rsidRPr="00F551C1">
        <w:rPr>
          <w:spacing w:val="-1"/>
          <w:sz w:val="20"/>
        </w:rPr>
        <w:t xml:space="preserve"> presentata prima che l’arbitro fosse nominato, la controversia venga sottoposta direttamente alla decisione di un arbitro (“sentenza”) e l’arbitro liquidi un importo superiore a quest’ultima offerta scritta, il </w:t>
      </w:r>
      <w:r w:rsidRPr="00F551C1">
        <w:rPr>
          <w:spacing w:val="-1"/>
          <w:sz w:val="20"/>
          <w:szCs w:val="20"/>
        </w:rPr>
        <w:t>licenziante</w:t>
      </w:r>
      <w:r w:rsidRPr="00F551C1">
        <w:rPr>
          <w:spacing w:val="-1"/>
          <w:sz w:val="20"/>
        </w:rPr>
        <w:t xml:space="preserve">: (1) corrisponderà l’importo maggiore tra quello del lodo arbitrale e 1.000 USD, (2) pagherà le eventuali spese legali esposte in misura ragionevole e (3) rimborserà le spese, inclusi i corrispettivi e i costi relativi ai periti, che il legale del licenziatario ha sostenuto per documentarsi, preparare e proporre il reclamo in arbitrato. L’arbitro stabilirà gli importi a meno che non siano concordati tra il licenziatario e </w:t>
      </w:r>
      <w:r w:rsidRPr="00F551C1">
        <w:rPr>
          <w:spacing w:val="-1"/>
          <w:sz w:val="20"/>
          <w:szCs w:val="20"/>
        </w:rPr>
        <w:t>il licenziante</w:t>
      </w:r>
      <w:r w:rsidRPr="00F551C1">
        <w:rPr>
          <w:spacing w:val="-1"/>
          <w:sz w:val="20"/>
        </w:rPr>
        <w:t>.</w:t>
      </w:r>
    </w:p>
    <w:p w:rsidR="00EE46E1" w:rsidRPr="00F551C1" w:rsidRDefault="00EE46E1" w:rsidP="00EE46E1">
      <w:pPr>
        <w:pStyle w:val="ListParagraph"/>
        <w:numPr>
          <w:ilvl w:val="2"/>
          <w:numId w:val="3"/>
        </w:numPr>
        <w:tabs>
          <w:tab w:val="left" w:pos="1080"/>
        </w:tabs>
        <w:spacing w:before="120" w:after="120"/>
        <w:ind w:left="1080" w:hanging="360"/>
        <w:contextualSpacing w:val="0"/>
      </w:pPr>
      <w:r w:rsidRPr="00F551C1">
        <w:rPr>
          <w:b/>
          <w:sz w:val="20"/>
        </w:rPr>
        <w:t>Per le controversie superiori a 75.000 USD.</w:t>
      </w:r>
      <w:r w:rsidRPr="00F551C1">
        <w:rPr>
          <w:sz w:val="20"/>
        </w:rPr>
        <w:t xml:space="preserve"> Le regole AAA disciplineranno il pagamento delle spese di notificazione e delle spese e dei corrispettivi dell’AAA e dell’arbitro.</w:t>
      </w:r>
    </w:p>
    <w:p w:rsidR="00EE46E1" w:rsidRPr="00F551C1" w:rsidRDefault="00EE46E1" w:rsidP="00EE46E1">
      <w:pPr>
        <w:pStyle w:val="ListParagraph"/>
        <w:numPr>
          <w:ilvl w:val="2"/>
          <w:numId w:val="3"/>
        </w:numPr>
        <w:tabs>
          <w:tab w:val="left" w:pos="1080"/>
        </w:tabs>
        <w:spacing w:before="120" w:after="120"/>
        <w:ind w:left="1080" w:hanging="360"/>
        <w:contextualSpacing w:val="0"/>
      </w:pPr>
      <w:r w:rsidRPr="00F551C1">
        <w:rPr>
          <w:b/>
          <w:sz w:val="20"/>
        </w:rPr>
        <w:t>Per le controversie di qualsiasi importo.</w:t>
      </w:r>
      <w:r w:rsidRPr="00F551C1">
        <w:rPr>
          <w:sz w:val="20"/>
        </w:rPr>
        <w:t xml:space="preserve"> Qualora il licenziatario promuova un arbitrato</w:t>
      </w:r>
      <w:r w:rsidRPr="00F551C1">
        <w:rPr>
          <w:sz w:val="20"/>
          <w:szCs w:val="20"/>
        </w:rPr>
        <w:t>, il licenziante</w:t>
      </w:r>
      <w:r w:rsidRPr="00F551C1">
        <w:rPr>
          <w:sz w:val="20"/>
        </w:rPr>
        <w:t xml:space="preserve"> non pretenderà la restituzione dei corrispettivi e delle spese dell’AAA o dell’arbitro oppure delle spese di notificazione in precedenza rimborsate, a meno che l’arbitro non ritenga l’arbitrato inutile o avviato per uno scopo non appropriato. Qualora </w:t>
      </w:r>
      <w:r w:rsidRPr="00F551C1">
        <w:rPr>
          <w:sz w:val="20"/>
          <w:szCs w:val="20"/>
        </w:rPr>
        <w:t>il licenziante promuova</w:t>
      </w:r>
      <w:r w:rsidRPr="00F551C1">
        <w:rPr>
          <w:sz w:val="20"/>
        </w:rPr>
        <w:t xml:space="preserve"> un arbitrato</w:t>
      </w:r>
      <w:r w:rsidRPr="00F551C1">
        <w:rPr>
          <w:sz w:val="20"/>
          <w:szCs w:val="20"/>
        </w:rPr>
        <w:t xml:space="preserve">, </w:t>
      </w:r>
      <w:r w:rsidRPr="00F551C1">
        <w:rPr>
          <w:sz w:val="20"/>
        </w:rPr>
        <w:t xml:space="preserve">pagherà tutte le spese e i corrispettivi dell’arbitro, dell’AAA e di notificazione. </w:t>
      </w:r>
      <w:r w:rsidRPr="00F551C1">
        <w:rPr>
          <w:sz w:val="20"/>
          <w:szCs w:val="20"/>
        </w:rPr>
        <w:t>In nessun arbitrato</w:t>
      </w:r>
      <w:r w:rsidRPr="00F551C1">
        <w:rPr>
          <w:sz w:val="20"/>
        </w:rPr>
        <w:t xml:space="preserve"> pretenderà </w:t>
      </w:r>
      <w:r w:rsidRPr="00F551C1">
        <w:rPr>
          <w:sz w:val="20"/>
          <w:szCs w:val="20"/>
        </w:rPr>
        <w:t>che</w:t>
      </w:r>
      <w:r w:rsidRPr="00F551C1">
        <w:rPr>
          <w:sz w:val="20"/>
        </w:rPr>
        <w:t xml:space="preserve"> le spese legali vengano pagate dal licenziatario. I corrispettivi e le spese non vengono presi in considerazione quando si definisce l’importo di una controversia.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rPr>
        <w:t xml:space="preserve">Presentazione obbligatoria entro un anno. </w:t>
      </w:r>
      <w:r w:rsidRPr="00F551C1">
        <w:rPr>
          <w:sz w:val="20"/>
        </w:rPr>
        <w:t xml:space="preserve">Il licenziatario e </w:t>
      </w:r>
      <w:r w:rsidRPr="00F551C1">
        <w:rPr>
          <w:sz w:val="20"/>
          <w:szCs w:val="20"/>
        </w:rPr>
        <w:t>il licenziante</w:t>
      </w:r>
      <w:r w:rsidRPr="00F551C1">
        <w:rPr>
          <w:sz w:val="20"/>
        </w:rPr>
        <w:t xml:space="preserve"> dovranno presentare qualsiasi reclamo o controversia al tribunale per le cause minori o all’arbitrato (ad </w:t>
      </w:r>
      <w:r w:rsidRPr="00F551C1">
        <w:rPr>
          <w:sz w:val="20"/>
          <w:szCs w:val="20"/>
        </w:rPr>
        <w:t>eccezione delle controversie in materia di proprietà intellettuale - cfr. Articolo 9.a) entro un anno dalla data in cui potrà avere luogo la prima presentazione. Diversamente, non potrà più essere presentata.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Validità delle Disposizioni Contrattuali.</w:t>
      </w:r>
      <w:r w:rsidRPr="00F551C1">
        <w:rPr>
          <w:sz w:val="20"/>
          <w:szCs w:val="20"/>
        </w:rPr>
        <w:t xml:space="preserve"> Qualora la rinuncia all’azione di categoria risulti illegale o non attuabile relativamente alla controversia nella sua interezza o a parti di essa, non si applicherà a tali parti, ma verrà trattata in tribunale, mentre le parti rimanenti saranno trattate mediante la procedura di arbitrato. Qualora qualsiasi altra disposizione dell’Articolo 8 risulti illegale o non attuabile, la stessa verrà isolata e la parte restante dell’Articolo 8 continuerà a essere applicabile.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Discrepanza con le regole AAA.</w:t>
      </w:r>
      <w:r w:rsidRPr="00F551C1">
        <w:rPr>
          <w:sz w:val="20"/>
          <w:szCs w:val="20"/>
        </w:rPr>
        <w:t xml:space="preserve"> Il presente contratto ha prevalenza nell’eventualità di una discrepanza con le Regole di Arbitrato Commerciale dell’AAA o le Regole di Arbitrato per i Consumatori.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Microsoft come terzo beneficiario.</w:t>
      </w:r>
      <w:r w:rsidRPr="00F551C1">
        <w:rPr>
          <w:sz w:val="20"/>
          <w:szCs w:val="20"/>
        </w:rPr>
        <w:t xml:space="preserve"> Microsoft non è una parte del presente contratto, bensì un beneficiario terzo del contratto stipulato con il licenziante per la risoluzione di eventuali controversie per vie informali e mediante arbitrato.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LEGGE APPLICABILE.</w:t>
      </w:r>
      <w:r w:rsidRPr="00F551C1">
        <w:rPr>
          <w:b/>
          <w:sz w:val="20"/>
          <w:szCs w:val="20"/>
        </w:rPr>
        <w:t xml:space="preserve"> </w:t>
      </w:r>
      <w:r w:rsidRPr="00F551C1">
        <w:rPr>
          <w:sz w:val="20"/>
          <w:szCs w:val="20"/>
        </w:rPr>
        <w:t>Tutti i reclami e tutte le controversie relativi al software, al suo prezzo o al presente contratto, inclusi i reclami aventi a oggetto inadempimenti contrattuali e della normativa a tutela dei consumatori, inadempimenti in materia di concorrenza sleale e delle leggi sulla garanzia implicita, l’indebito arricchimento e l’illecito civile, indipendentemente dai principi in materia di conflitto di legge, saranno disciplinati dalle leggi del Paese di residenza del licenziatario (o, nel caso di una società, del luogo principale in cui la società svolge la propria attività), fatta eccezione per tutte le disposizioni relative all’arbitrato che saranno disciplinate dal FAA.</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RETI, DATI E UTILIZZO DI INTERNET.</w:t>
      </w:r>
      <w:r w:rsidRPr="00F551C1">
        <w:rPr>
          <w:sz w:val="20"/>
          <w:szCs w:val="20"/>
        </w:rPr>
        <w:t xml:space="preserve"> Alcune funzionalità del software e dei servizi accessibili tramite il software potranno richiedere al dispositivo di accedere a Internet. L’accesso e l’utilizzo (inclusi i costi) da parte del licenziatario potranno essere soggetti alle condizioni del contratto del provider di servizi Internet o cellulari. Alcune funzionalità del software potranno consentire al licenziatario di accedere in modo più efficiente a Internet, ma i calcoli relativi all’utilizzo del software potranno essere diversi da quelli effettuati dal provider di servizi. Il licenziatario ha sempre la responsabilità (i) di comprendere e conformarsi alle condizioni dei piani e dei contratti che ha stipulato, nonché (ii) di eventuali questioni derivanti dall’utilizzo delle reti o dall’accesso alle stesse, incluse le reti pubbliche/aperte. Il licenziatario potrà utilizzare il software per connettersi a reti e per condividere le informazioni di accesso a tali reti, solo qualora sia autorizzato in tal senso.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sz w:val="20"/>
          <w:szCs w:val="20"/>
        </w:rPr>
        <w:t xml:space="preserve">VERSIONI CON DIRITTI LIMITATI. </w:t>
      </w:r>
      <w:r w:rsidRPr="00F551C1">
        <w:rPr>
          <w:sz w:val="20"/>
          <w:szCs w:val="20"/>
        </w:rPr>
        <w:t xml:space="preserve">Qualora la versione software acquistata dal licenziatario sia contrassegnata per, o in altro modo destinata a, un uso specifico o limitato, il licenziatario potrà utilizzarla esclusivamente come indicato. Il licenziatario non potrà utilizzare le versioni del software indicate di seguito in attività commerciali, no profit o che producano reddito.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Education o University.</w:t>
      </w:r>
      <w:r w:rsidRPr="00F551C1">
        <w:rPr>
          <w:sz w:val="20"/>
          <w:szCs w:val="20"/>
        </w:rPr>
        <w:t xml:space="preserve"> Ai fini di un utilizzo didattico, al momento dell’acquisto il licenziatario dovrà essere uno studente, un docente o un membro del personale di un istituto didattico.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Home and Student.</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Military Appreciation.</w:t>
      </w:r>
      <w:r w:rsidRPr="00F551C1">
        <w:rPr>
          <w:sz w:val="20"/>
          <w:szCs w:val="20"/>
        </w:rPr>
        <w:t xml:space="preserve"> Il licenziatario dovrà essere un “Utente Qualificato Military” per ottenere in licenza il software recante l’etichetta “Military Appreciation”. Per essere un Utente Qualificato Military, negli Stati Uniti d’America il licenziatario dovrà essere un membro autorizzato dell’Armed Services Exchanges in conformità alle leggi e alle disposizioni federali statunitensi applicabili.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Canadian Forces.</w:t>
      </w:r>
      <w:r w:rsidRPr="00F551C1">
        <w:rPr>
          <w:sz w:val="20"/>
          <w:szCs w:val="20"/>
        </w:rPr>
        <w:t xml:space="preserve"> Il licenziatario dovrà essere un “Membro Autorizzato CANEX” per ottenere in licenza il software recante l’etichetta “Canadian Forces”. I Membri Autorizzati CANEX sono:</w:t>
      </w:r>
    </w:p>
    <w:p w:rsidR="00EE46E1" w:rsidRPr="00F551C1" w:rsidRDefault="00EE46E1" w:rsidP="00EE46E1">
      <w:pPr>
        <w:numPr>
          <w:ilvl w:val="0"/>
          <w:numId w:val="1"/>
        </w:numPr>
        <w:spacing w:before="120" w:after="120"/>
        <w:rPr>
          <w:sz w:val="20"/>
          <w:szCs w:val="20"/>
        </w:rPr>
      </w:pPr>
      <w:r w:rsidRPr="00F551C1">
        <w:rPr>
          <w:sz w:val="20"/>
          <w:szCs w:val="20"/>
        </w:rPr>
        <w:t>i membri delle Forze Armate (CAF) (Forze Regolari e di Riserva) e le loro famiglie;</w:t>
      </w:r>
    </w:p>
    <w:p w:rsidR="00EE46E1" w:rsidRPr="00F551C1" w:rsidRDefault="00EE46E1" w:rsidP="00EE46E1">
      <w:pPr>
        <w:numPr>
          <w:ilvl w:val="0"/>
          <w:numId w:val="1"/>
        </w:numPr>
        <w:spacing w:before="120" w:after="120"/>
        <w:rPr>
          <w:sz w:val="20"/>
          <w:szCs w:val="20"/>
        </w:rPr>
      </w:pPr>
      <w:r w:rsidRPr="00F551C1">
        <w:rPr>
          <w:sz w:val="20"/>
          <w:szCs w:val="20"/>
        </w:rPr>
        <w:t>i Veterani (ex membri del CAF) e le loro famiglie, incluse le famiglie di coloro che sono deceduti;</w:t>
      </w:r>
    </w:p>
    <w:p w:rsidR="00EE46E1" w:rsidRPr="00F551C1" w:rsidRDefault="00EE46E1" w:rsidP="00EE46E1">
      <w:pPr>
        <w:numPr>
          <w:ilvl w:val="0"/>
          <w:numId w:val="1"/>
        </w:numPr>
        <w:spacing w:before="120" w:after="120"/>
        <w:rPr>
          <w:sz w:val="20"/>
          <w:szCs w:val="20"/>
        </w:rPr>
      </w:pPr>
      <w:r w:rsidRPr="00F551C1">
        <w:rPr>
          <w:sz w:val="20"/>
          <w:szCs w:val="20"/>
        </w:rPr>
        <w:t>i Membri delle forze militari straniere che attualmente sono in servizio con il CAF e le loro famiglie;</w:t>
      </w:r>
    </w:p>
    <w:p w:rsidR="00EE46E1" w:rsidRPr="00F551C1" w:rsidRDefault="00EE46E1" w:rsidP="00377FA5">
      <w:pPr>
        <w:numPr>
          <w:ilvl w:val="0"/>
          <w:numId w:val="1"/>
        </w:numPr>
        <w:spacing w:before="120" w:after="120"/>
        <w:rPr>
          <w:sz w:val="20"/>
          <w:szCs w:val="20"/>
        </w:rPr>
      </w:pPr>
      <w:r w:rsidRPr="00F551C1">
        <w:rPr>
          <w:sz w:val="20"/>
          <w:szCs w:val="20"/>
        </w:rPr>
        <w:t xml:space="preserve">il </w:t>
      </w:r>
      <w:r w:rsidR="00377FA5" w:rsidRPr="00377FA5">
        <w:rPr>
          <w:sz w:val="20"/>
          <w:szCs w:val="20"/>
        </w:rPr>
        <w:t>personale attuale</w:t>
      </w:r>
      <w:r w:rsidRPr="00F551C1">
        <w:rPr>
          <w:sz w:val="20"/>
          <w:szCs w:val="20"/>
        </w:rPr>
        <w:t xml:space="preserve"> delle Non-Public Funds, Canadian Forces (NPF, CF);</w:t>
      </w:r>
    </w:p>
    <w:p w:rsidR="00EE46E1" w:rsidRPr="00F551C1" w:rsidRDefault="00EE46E1" w:rsidP="00EE46E1">
      <w:pPr>
        <w:numPr>
          <w:ilvl w:val="0"/>
          <w:numId w:val="1"/>
        </w:numPr>
        <w:spacing w:before="120" w:after="120"/>
        <w:rPr>
          <w:sz w:val="20"/>
          <w:szCs w:val="20"/>
        </w:rPr>
      </w:pPr>
      <w:r w:rsidRPr="00F551C1">
        <w:rPr>
          <w:sz w:val="20"/>
          <w:szCs w:val="20"/>
        </w:rPr>
        <w:t>il personale attuale dei Military Family Resource Centre (MFRC);</w:t>
      </w:r>
    </w:p>
    <w:p w:rsidR="00EE46E1" w:rsidRPr="00F551C1" w:rsidRDefault="00EE46E1" w:rsidP="00EE46E1">
      <w:pPr>
        <w:numPr>
          <w:ilvl w:val="0"/>
          <w:numId w:val="1"/>
        </w:numPr>
        <w:spacing w:before="120" w:after="120"/>
        <w:rPr>
          <w:sz w:val="20"/>
          <w:szCs w:val="20"/>
        </w:rPr>
      </w:pPr>
      <w:r w:rsidRPr="00F551C1">
        <w:rPr>
          <w:sz w:val="20"/>
          <w:szCs w:val="20"/>
        </w:rPr>
        <w:t>i dipendenti pubblici attuali del Ministero della Difesa Canadese (Department of National Defence o DND) e le loro famiglie;</w:t>
      </w:r>
    </w:p>
    <w:p w:rsidR="00EE46E1" w:rsidRPr="00F551C1" w:rsidRDefault="00EE46E1" w:rsidP="00EE46E1">
      <w:pPr>
        <w:numPr>
          <w:ilvl w:val="0"/>
          <w:numId w:val="1"/>
        </w:numPr>
        <w:spacing w:before="120" w:after="120"/>
        <w:rPr>
          <w:sz w:val="20"/>
          <w:szCs w:val="20"/>
        </w:rPr>
      </w:pPr>
      <w:r w:rsidRPr="00F551C1">
        <w:rPr>
          <w:sz w:val="20"/>
          <w:szCs w:val="20"/>
        </w:rPr>
        <w:t>la Regia Polizia a cavallo canadese in servizio e in pensione (Royal Canadian Mounted Police o RCMP) e le loro famiglie;</w:t>
      </w:r>
    </w:p>
    <w:p w:rsidR="00EE46E1" w:rsidRPr="00F551C1" w:rsidRDefault="00EE46E1" w:rsidP="00EE46E1">
      <w:pPr>
        <w:numPr>
          <w:ilvl w:val="0"/>
          <w:numId w:val="1"/>
        </w:numPr>
        <w:spacing w:before="120" w:after="120"/>
        <w:rPr>
          <w:sz w:val="20"/>
          <w:szCs w:val="20"/>
        </w:rPr>
      </w:pPr>
      <w:r w:rsidRPr="00F551C1">
        <w:rPr>
          <w:sz w:val="20"/>
          <w:szCs w:val="20"/>
        </w:rPr>
        <w:t>il personale attuale del Defence Research and Development Canada (DRDC) e le loro famiglie;</w:t>
      </w:r>
    </w:p>
    <w:p w:rsidR="00EE46E1" w:rsidRPr="00F551C1" w:rsidRDefault="00EE46E1" w:rsidP="00EE46E1">
      <w:pPr>
        <w:numPr>
          <w:ilvl w:val="0"/>
          <w:numId w:val="1"/>
        </w:numPr>
        <w:spacing w:before="120" w:after="120"/>
        <w:rPr>
          <w:sz w:val="20"/>
          <w:szCs w:val="20"/>
        </w:rPr>
      </w:pPr>
      <w:r w:rsidRPr="00F551C1">
        <w:rPr>
          <w:sz w:val="20"/>
          <w:szCs w:val="20"/>
        </w:rPr>
        <w:t>il personale attuale del Defence Construction Canada (DCC) e le loro famiglie;</w:t>
      </w:r>
    </w:p>
    <w:p w:rsidR="00EE46E1" w:rsidRPr="00F551C1" w:rsidRDefault="00EE46E1" w:rsidP="00EE46E1">
      <w:pPr>
        <w:numPr>
          <w:ilvl w:val="0"/>
          <w:numId w:val="1"/>
        </w:numPr>
        <w:spacing w:before="120" w:after="120"/>
        <w:rPr>
          <w:sz w:val="20"/>
          <w:szCs w:val="20"/>
        </w:rPr>
      </w:pPr>
      <w:r w:rsidRPr="00F551C1">
        <w:rPr>
          <w:sz w:val="20"/>
          <w:szCs w:val="20"/>
        </w:rPr>
        <w:t>Colonnelli/Capitani Onorari(N), Tenenti Colonnelli/Capitani di Corvetta e loro famiglie;</w:t>
      </w:r>
    </w:p>
    <w:p w:rsidR="00EE46E1" w:rsidRPr="00F551C1" w:rsidRDefault="00EE46E1" w:rsidP="00EE46E1">
      <w:pPr>
        <w:numPr>
          <w:ilvl w:val="0"/>
          <w:numId w:val="1"/>
        </w:numPr>
        <w:spacing w:before="120" w:after="120"/>
        <w:rPr>
          <w:sz w:val="20"/>
          <w:szCs w:val="20"/>
        </w:rPr>
      </w:pPr>
      <w:r w:rsidRPr="00F551C1">
        <w:rPr>
          <w:sz w:val="20"/>
          <w:szCs w:val="20"/>
        </w:rPr>
        <w:t>familiari del personale dell’NPF, CF o</w:t>
      </w:r>
    </w:p>
    <w:p w:rsidR="00EE46E1" w:rsidRPr="00F551C1" w:rsidRDefault="00EE46E1" w:rsidP="00EE46E1">
      <w:pPr>
        <w:numPr>
          <w:ilvl w:val="0"/>
          <w:numId w:val="1"/>
        </w:numPr>
        <w:spacing w:before="120" w:after="120"/>
        <w:rPr>
          <w:sz w:val="20"/>
          <w:szCs w:val="20"/>
        </w:rPr>
      </w:pPr>
      <w:r w:rsidRPr="00F551C1">
        <w:rPr>
          <w:sz w:val="20"/>
          <w:szCs w:val="20"/>
        </w:rPr>
        <w:t xml:space="preserve">familiari del personale dell’MFRC. </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DIRITTI DEI CONSUMATORI, VARIAZIONI REGIONALI.</w:t>
      </w:r>
      <w:r w:rsidRPr="00F551C1">
        <w:rPr>
          <w:b/>
          <w:sz w:val="20"/>
          <w:szCs w:val="20"/>
        </w:rPr>
        <w:t xml:space="preserve"> </w:t>
      </w:r>
      <w:r w:rsidRPr="00F551C1">
        <w:rPr>
          <w:sz w:val="20"/>
          <w:szCs w:val="20"/>
        </w:rPr>
        <w:t xml:space="preserve">Con il presente contratto vengono concessi determinati diritti. Il licenziatario potrà avere altri diritti, tra cui i diritti dei consumatori, ai sensi delle leggi del Paese di residenza. Il licenziatario potrebbe, inoltre, vantare ulteriori diritti direttamente nei confronti della parte presso la quale ha acquistato il software. Il presente contratto non modifica tali altri diritti qualora le leggi del Paese di residenza del licenziatario non consentano di modificarli. Ad esempio, qualora il licenziatario abbia acquistato il software in una delle aree indicate di seguito o si applichi la legge obbligatoria del Paese, sono valide le seguenti disposizioni: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Australia. </w:t>
      </w:r>
      <w:r w:rsidRPr="00F551C1">
        <w:rPr>
          <w:sz w:val="20"/>
          <w:szCs w:val="20"/>
        </w:rPr>
        <w:t>“Garanzia Limitata” indica la garanzia espressa fornita da Microsoft</w:t>
      </w:r>
      <w:r w:rsidRPr="00F551C1">
        <w:rPr>
          <w:bCs/>
          <w:sz w:val="20"/>
          <w:szCs w:val="20"/>
        </w:rPr>
        <w:t>.</w:t>
      </w:r>
      <w:r w:rsidRPr="00F551C1">
        <w:rPr>
          <w:sz w:val="20"/>
          <w:szCs w:val="20"/>
        </w:rPr>
        <w:t xml:space="preserve"> Questa garanzia viene fornita in aggiunta agli altri diritti e rimedi riconosciuti al licenziatario in base alla legge, inclusi i diritti e i rimedi previsti in conformità alle garanzie di legge stabilite ai sensi della Australian Consumer Law.</w:t>
      </w:r>
    </w:p>
    <w:p w:rsidR="00EE46E1" w:rsidRPr="00F551C1" w:rsidRDefault="00EE46E1" w:rsidP="00EE46E1">
      <w:pPr>
        <w:tabs>
          <w:tab w:val="left" w:pos="360"/>
        </w:tabs>
        <w:spacing w:before="120" w:after="120"/>
        <w:ind w:left="720" w:hanging="360"/>
        <w:rPr>
          <w:sz w:val="20"/>
          <w:szCs w:val="20"/>
        </w:rPr>
      </w:pPr>
      <w:r w:rsidRPr="00F551C1">
        <w:rPr>
          <w:sz w:val="20"/>
          <w:szCs w:val="20"/>
        </w:rPr>
        <w:tab/>
        <w:t>Nel presente Articolo “beni” indica il software per il quale Microsoft fornisce la garanzia espressa. I beni Microsoft sono forniti con garanzie la cui esclusione ai sensi della Australian Consumer Law non è consentita. Il consumatore è autorizzato a ottenere una sostituzione o un rimborso in caso di guasto grave e un indennizzo per qualsiasi altra perdita o danno ragionevolmente prevedibile. Il consumatore è anche autorizzato a richiedere la riparazione o la sostituzione dei beni qualora la loro qualità non sia accettabile e il guasto non venga considerato grave.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Canada. </w:t>
      </w:r>
      <w:r w:rsidRPr="00F551C1">
        <w:rPr>
          <w:sz w:val="20"/>
          <w:szCs w:val="20"/>
        </w:rPr>
        <w:t>Il licenziatario potrà interrompere la ricezione di aggiornamenti disattivando l’accesso a Internet. Nell’eventualità e quando il licenziatario si riconnetterà a Internet, il software riprenderà a controllare se sono presenti aggiornamenti e a installarli.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Unione Europea. </w:t>
      </w:r>
      <w:r w:rsidRPr="00F551C1">
        <w:rPr>
          <w:sz w:val="20"/>
          <w:szCs w:val="20"/>
        </w:rPr>
        <w:t xml:space="preserve">La limitazione relativa all’utilizzo didattico contenuta nel precedente Articolo Versioni con Diritti Limitati, Education o University potrebbe non essere applicabile al licenziatario. I diritti sull’utilizzo del licenziatario saranno conformi alle legge locali che sono soggette a modifica.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Germania e Austria.</w:t>
      </w:r>
      <w:r w:rsidRPr="00F551C1">
        <w:rPr>
          <w:sz w:val="20"/>
          <w:szCs w:val="20"/>
        </w:rPr>
        <w:t xml:space="preserve"> </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Garanzia.</w:t>
      </w:r>
      <w:r w:rsidRPr="00F551C1">
        <w:rPr>
          <w:sz w:val="20"/>
          <w:szCs w:val="20"/>
        </w:rPr>
        <w:t xml:space="preserve"> Il software validamente concesso in licenza funzionerà in sostanziale conformità a quanto descritto nel materiale Microsoft fornito con il software. Tuttavia, dal licenziante e da Microsoft non viene fornita alcuna garanzia contrattuale in relazione al software concesso in licenza.</w:t>
      </w:r>
    </w:p>
    <w:p w:rsidR="00EE46E1" w:rsidRPr="00F551C1" w:rsidRDefault="00EE46E1" w:rsidP="00EE46E1">
      <w:pPr>
        <w:pStyle w:val="ListParagraph"/>
        <w:numPr>
          <w:ilvl w:val="2"/>
          <w:numId w:val="3"/>
        </w:numPr>
        <w:tabs>
          <w:tab w:val="left" w:pos="1080"/>
        </w:tabs>
        <w:spacing w:before="120" w:after="120"/>
        <w:ind w:left="1080" w:hanging="360"/>
        <w:contextualSpacing w:val="0"/>
      </w:pPr>
      <w:r w:rsidRPr="00F551C1">
        <w:rPr>
          <w:b/>
          <w:sz w:val="20"/>
        </w:rPr>
        <w:t>Limitazione di Responsabilità.</w:t>
      </w:r>
      <w:r w:rsidRPr="00F551C1">
        <w:rPr>
          <w:sz w:val="20"/>
        </w:rPr>
        <w:t xml:space="preserve"> In caso di comportamento intenzionale, colpa grave, reclami basati sulla Legge in materia di Responsabilità Prodotto, così come in caso di morte o lesioni personali, il </w:t>
      </w:r>
      <w:r w:rsidRPr="00F551C1">
        <w:rPr>
          <w:sz w:val="20"/>
          <w:szCs w:val="20"/>
        </w:rPr>
        <w:t>licenziante</w:t>
      </w:r>
      <w:r w:rsidRPr="00F551C1">
        <w:rPr>
          <w:sz w:val="20"/>
        </w:rPr>
        <w:t xml:space="preserve"> o Microsoft è responsabile in conformità alla legge imperativa.</w:t>
      </w:r>
    </w:p>
    <w:p w:rsidR="00EE46E1" w:rsidRPr="00F551C1" w:rsidRDefault="00EE46E1" w:rsidP="00EE46E1">
      <w:pPr>
        <w:tabs>
          <w:tab w:val="left" w:pos="360"/>
        </w:tabs>
        <w:spacing w:before="120" w:after="120"/>
        <w:ind w:left="1080" w:hanging="360"/>
        <w:rPr>
          <w:sz w:val="20"/>
          <w:szCs w:val="20"/>
        </w:rPr>
      </w:pPr>
      <w:r w:rsidRPr="00F551C1">
        <w:rPr>
          <w:sz w:val="20"/>
        </w:rPr>
        <w:tab/>
        <w:t xml:space="preserve">In riferimento alla frase precedente, il </w:t>
      </w:r>
      <w:r w:rsidRPr="00F551C1">
        <w:rPr>
          <w:sz w:val="20"/>
          <w:szCs w:val="20"/>
        </w:rPr>
        <w:t>licenziante</w:t>
      </w:r>
      <w:r w:rsidRPr="00F551C1">
        <w:rPr>
          <w:sz w:val="20"/>
        </w:rPr>
        <w:t xml:space="preserve"> o Microsoft sarà responsabile solo di colpa lieve qualora sia inadempiente a tali obbligazioni contrattuali sostanziali, il cui adempimento facilita la debita esecuzione del presente contratto, il cui inadempimento metterebbe in pericolo lo scopo del presente contratto e alla cui conformità una parte potrà costantemente fare affidamento (le cosiddette “obbligazioni fondamentali”). In altri casi di colpa lieve il </w:t>
      </w:r>
      <w:r w:rsidRPr="00F551C1">
        <w:rPr>
          <w:sz w:val="20"/>
          <w:szCs w:val="20"/>
        </w:rPr>
        <w:t>licenziante o Microsoft non sarà responsabile di tale colpa.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Giappone. </w:t>
      </w:r>
      <w:r w:rsidRPr="00F551C1">
        <w:rPr>
          <w:sz w:val="20"/>
          <w:szCs w:val="20"/>
        </w:rPr>
        <w:t>Qualora il licenziatario risieda in Giappone o abbia acquistato il software mentre vi risiedeva,</w:t>
      </w:r>
      <w:r w:rsidR="009A7AB0" w:rsidRPr="00F551C1">
        <w:rPr>
          <w:sz w:val="20"/>
          <w:szCs w:val="20"/>
        </w:rPr>
        <w:t xml:space="preserve"> </w:t>
      </w:r>
      <w:r w:rsidRPr="00F551C1">
        <w:rPr>
          <w:bCs/>
          <w:sz w:val="20"/>
          <w:szCs w:val="20"/>
        </w:rPr>
        <w:t>godrà</w:t>
      </w:r>
      <w:r w:rsidRPr="00F551C1">
        <w:rPr>
          <w:sz w:val="20"/>
          <w:szCs w:val="20"/>
        </w:rPr>
        <w:t xml:space="preserve"> dei seguenti diritti purché si conformi a tutte le condizioni del presente contratto: il licenziatario potrà inoltre installare e utilizzare una seconda copia del software su un secondo dispositivo con licenza e usarlo analogamente al primo dispositivo con licenza.</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sz w:val="20"/>
          <w:szCs w:val="20"/>
        </w:rPr>
        <w:t xml:space="preserve">HOME USE PROGRAM. </w:t>
      </w:r>
      <w:r w:rsidRPr="00F551C1">
        <w:rPr>
          <w:sz w:val="20"/>
          <w:szCs w:val="20"/>
        </w:rPr>
        <w:t>Il licenziatario dovrà essere un “Utente Home Use Program” per utilizzare il software recante l’etichetta “Edizione Home Use Program”. Per essere un “Utente Home Use Program”, il licenziatario dovrà essere sia:</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rPr>
        <w:t>un dipendente di un’organizzazione che ha stipulato un contratto Microsoft Volume License con Software Assurance che</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rPr>
        <w:t>l’utente di una copia con licenza del software o di un prodotto che includa il software, con Software Assurance attiva.</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LANGUAGE PACK E STRUMENTI DI CORREZIONE.</w:t>
      </w:r>
      <w:r w:rsidRPr="00F551C1">
        <w:rPr>
          <w:b/>
          <w:sz w:val="20"/>
          <w:szCs w:val="20"/>
        </w:rPr>
        <w:t xml:space="preserve"> </w:t>
      </w:r>
      <w:r w:rsidRPr="00F551C1">
        <w:rPr>
          <w:sz w:val="20"/>
          <w:szCs w:val="20"/>
        </w:rPr>
        <w:t>Qualora il licenziatario acquisti un Language Pack, un Language Interface Pack o uno Strumento di Correzione che offra supporto per versioni in lingue aggiuntive del software, il licenziatario potrà utilizzare le lingue aggiuntive incluse nel pacchetto o nello strumento. I Language Pack, i Language Interface Pack e gli strumenti di correzione sono parte integrante del software e non possono essere utilizzati separatamente.</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INTERO ACCORDO.</w:t>
      </w:r>
      <w:r w:rsidRPr="00F551C1">
        <w:rPr>
          <w:b/>
          <w:sz w:val="20"/>
          <w:szCs w:val="20"/>
        </w:rPr>
        <w:t xml:space="preserve"> </w:t>
      </w:r>
      <w:r w:rsidRPr="00F551C1">
        <w:rPr>
          <w:sz w:val="20"/>
          <w:szCs w:val="20"/>
        </w:rPr>
        <w:t xml:space="preserve">Il presente contratto, unitamente alle condizioni di licenza stampate o ad altre condizioni per i supplementi, gli aggiornamenti e i servizi relativi al software forniti dal </w:t>
      </w:r>
      <w:r w:rsidRPr="00F551C1">
        <w:rPr>
          <w:bCs/>
          <w:sz w:val="20"/>
          <w:szCs w:val="20"/>
        </w:rPr>
        <w:t>licenziante</w:t>
      </w:r>
      <w:r w:rsidRPr="00F551C1">
        <w:rPr>
          <w:sz w:val="20"/>
          <w:szCs w:val="20"/>
        </w:rPr>
        <w:t xml:space="preserve"> o da Microsoft e utilizzati dal licenziatario, e le condizioni accessibili tramite i collegamenti Web contenuti nel presente contratto costituiscono l’intero accordo per il software e per gli eventuali predetti supplementi, aggiornamenti e servizi (a meno che il </w:t>
      </w:r>
      <w:r w:rsidRPr="00F551C1">
        <w:rPr>
          <w:bCs/>
          <w:sz w:val="20"/>
          <w:szCs w:val="20"/>
        </w:rPr>
        <w:t>licenziante</w:t>
      </w:r>
      <w:r w:rsidRPr="00F551C1">
        <w:rPr>
          <w:sz w:val="20"/>
          <w:szCs w:val="20"/>
        </w:rPr>
        <w:t xml:space="preserve"> o Microsoft non fornisca altre condizioni con tali supplementi, aggiornamenti o servizi). Il licenziatario potrà rivedere il presente contratto mentre il software è in esecuzione visitando la pagina </w:t>
      </w:r>
      <w:r w:rsidRPr="00F551C1">
        <w:rPr>
          <w:sz w:val="20"/>
          <w:szCs w:val="20"/>
          <w:u w:val="single"/>
        </w:rPr>
        <w:t>microsoft.com/useterms</w:t>
      </w:r>
      <w:r w:rsidRPr="00F551C1">
        <w:rPr>
          <w:sz w:val="20"/>
          <w:szCs w:val="20"/>
        </w:rPr>
        <w:t xml:space="preserve"> oppure scegliendo File - Account - Informazioni su nel software. Il licenziatario accetta anche di prendere visione delle condizioni accessibili tramite i collegamenti contenuti nel presente contratto mentre il software è in esecuzione digitando gli URL nella barra degli indirizzi di un browser. Prima di utilizzare il software o i servizi, il licenziatario accetta di leggere le relative condizioni, incluse le condizioni accessibili tramite i collegamenti. Inoltre, riconosce che l’utilizzo del software e dei servizi funge da ratifica del presente contratto e delle condizioni accessibili tramite i collegamenti. Nel presente contratto sono presenti anche collegamenti informativi. I collegamenti che contengono comunicazioni e condizioni vincolanti sono i seguenti:</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u w:val="single"/>
        </w:rPr>
        <w:t>go.microsoft.com/fwlink/?linkid=507380</w:t>
      </w:r>
      <w:r w:rsidRPr="00F551C1">
        <w:rPr>
          <w:sz w:val="20"/>
          <w:szCs w:val="20"/>
        </w:rPr>
        <w:t xml:space="preserve"> (Informativa sulla Privacy di Microsoft)</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u w:val="single"/>
        </w:rPr>
        <w:t>go.microsoft.com/fwlink/?linkid=530144</w:t>
      </w:r>
      <w:r w:rsidRPr="00F551C1">
        <w:rPr>
          <w:sz w:val="20"/>
          <w:szCs w:val="20"/>
        </w:rPr>
        <w:t xml:space="preserve"> (Contratto di Servizi Microsoft)</w:t>
      </w:r>
    </w:p>
    <w:p w:rsidR="00EE46E1" w:rsidRPr="00DF6C3D" w:rsidRDefault="00EE46E1" w:rsidP="00EE46E1">
      <w:pPr>
        <w:pStyle w:val="ListParagraph"/>
        <w:numPr>
          <w:ilvl w:val="0"/>
          <w:numId w:val="3"/>
        </w:numPr>
        <w:tabs>
          <w:tab w:val="left" w:pos="360"/>
        </w:tabs>
        <w:spacing w:before="120" w:after="120"/>
        <w:ind w:left="360"/>
        <w:contextualSpacing w:val="0"/>
        <w:rPr>
          <w:bCs/>
          <w:sz w:val="20"/>
          <w:szCs w:val="20"/>
        </w:rPr>
      </w:pPr>
      <w:r w:rsidRPr="00DF6C3D">
        <w:rPr>
          <w:b/>
          <w:bCs/>
          <w:sz w:val="20"/>
          <w:szCs w:val="20"/>
        </w:rPr>
        <w:t>NESSUNA TOLLERANZA D’ERRORE. IL SOFTWARE NON È A TOLLERANZA D’ERRORE. IL LICENZIANTE HA STABILITO IN MODO INDIPENDENTE LE MODALITÀ DI UTILIZZO DEL SOFTWARE NELL’APPLICAZIONE O NELLA SUITE DI APPLICAZIONI SOFTWARE INTEGRATE CHE CONCEDE IN LICENZA AL LICENZIATARIO E MICROSOFT SI È BASATA SUL LICENZIANTE PER L’ESECUZIONE DI ADEGUATI COLLAUDI AL FINE DI DETERMINARE L’IDONEITÀ DEL SOFTWARE PER TALE UTILIZZO.</w:t>
      </w:r>
    </w:p>
    <w:p w:rsidR="00EE46E1" w:rsidRPr="00DF6C3D" w:rsidRDefault="00EE46E1" w:rsidP="00EE46E1">
      <w:pPr>
        <w:pStyle w:val="ListParagraph"/>
        <w:numPr>
          <w:ilvl w:val="0"/>
          <w:numId w:val="3"/>
        </w:numPr>
        <w:tabs>
          <w:tab w:val="left" w:pos="360"/>
        </w:tabs>
        <w:spacing w:before="120" w:after="120"/>
        <w:ind w:left="360"/>
        <w:contextualSpacing w:val="0"/>
        <w:rPr>
          <w:bCs/>
          <w:sz w:val="20"/>
          <w:szCs w:val="20"/>
        </w:rPr>
      </w:pPr>
      <w:r w:rsidRPr="00DF6C3D">
        <w:rPr>
          <w:b/>
          <w:bCs/>
          <w:sz w:val="20"/>
          <w:szCs w:val="20"/>
        </w:rPr>
        <w:t>ESCLUSIONE DI GARANZIE DA PARTE DI MICROSOFT. IL LICENZIATARIO ACCETTA CHE, QUALORA ABBIA RICEVUTO GARANZIE RELATIVE (A) AL SOFTWARE O (B) ALLE APPLICAZIONI O ALLA SUITE DI APPLICAZIONI SOFTWARE CON CUI HA ACQUISTATO IL SOFTWARE, TALI GARANZIE VERRANNO FORNITE ESCLUSIVAMENTE DAL LICENZIANTE E NON DERIVANO, NÉ SONO VINCOLANTI PER MICROSOFT. MICROSOFT NON FORNISCE ALCUNA GARANZIA IMPLICITA DI COMMERCIABILITÀ (QUALITÀ NON INFERIORE ALLA MEDIA) NÉ ALTRE GARANZIE ESPRESSE O IMPLICITE.</w:t>
      </w:r>
    </w:p>
    <w:p w:rsidR="00EE46E1" w:rsidRPr="00DF6C3D" w:rsidRDefault="00EE46E1" w:rsidP="00EE46E1">
      <w:pPr>
        <w:pStyle w:val="ListParagraph"/>
        <w:numPr>
          <w:ilvl w:val="0"/>
          <w:numId w:val="3"/>
        </w:numPr>
        <w:tabs>
          <w:tab w:val="left" w:pos="360"/>
        </w:tabs>
        <w:spacing w:before="120" w:after="120"/>
        <w:ind w:left="360"/>
        <w:contextualSpacing w:val="0"/>
        <w:rPr>
          <w:bCs/>
          <w:sz w:val="20"/>
          <w:szCs w:val="20"/>
        </w:rPr>
      </w:pPr>
      <w:r w:rsidRPr="00DF6C3D">
        <w:rPr>
          <w:b/>
          <w:bCs/>
          <w:sz w:val="20"/>
          <w:szCs w:val="20"/>
        </w:rPr>
        <w:t>ESCLUSIONE DI RESPONSABILITÀ PER DANNI PARTICOLARI. NELLA MISURA MASSIMA CONSENTITA DALLA LEGGE APPLICABILE, MICROSOFT NON SARÀ IN ALCUN CASO RESPONSABILE DI DANNI INDIRETTI, SPECIALI, CONSEQUENZIALI O INCIDENTALI DERIVANTI O COMUNQUE CORRELATI ALL’UTILIZZO O ALLE PRESTAZIONI DEL SOFTWARE O DELL’APPLICAZIONE O DELLA SUITE DI APPLICAZIONI SOFTWARE CON CUI IL LICENZIATARIO HA ACQUISTATO IL SOFTWARE, INCLUSE, A TITOLO ESEMPLIFICATIVO, PENALI IMPOSTE DAL GOVERNO. LA PRESENTE LIMITAZIONE SI APPLICHERÀ ANCHE QUALORA QUALSIASI RIMEDIO NON RAGGIUNGA IL SUO SCOPO ESSENZIALE. IN NESSUN CASO MICROSOFT SARÀ RESPONSABILE PER IMPORTI SUPERIORI A DUECENTOCINQUANTA DOLLARI (USD 250,00).</w:t>
      </w:r>
    </w:p>
    <w:p w:rsidR="00EE46E1" w:rsidRPr="00F551C1" w:rsidRDefault="00EE46E1" w:rsidP="00EE46E1">
      <w:pPr>
        <w:tabs>
          <w:tab w:val="left" w:pos="540"/>
        </w:tabs>
        <w:spacing w:before="120" w:after="120"/>
        <w:rPr>
          <w:sz w:val="20"/>
          <w:szCs w:val="20"/>
        </w:rPr>
      </w:pPr>
      <w:r w:rsidRPr="00F551C1">
        <w:rPr>
          <w:sz w:val="20"/>
          <w:szCs w:val="20"/>
        </w:rPr>
        <w:t xml:space="preserve">Microsoft e </w:t>
      </w:r>
      <w:r w:rsidR="00A330B2">
        <w:rPr>
          <w:sz w:val="20"/>
          <w:szCs w:val="20"/>
        </w:rPr>
        <w:t>Outlook</w:t>
      </w:r>
      <w:r w:rsidRPr="00F551C1">
        <w:rPr>
          <w:sz w:val="20"/>
          <w:szCs w:val="20"/>
        </w:rPr>
        <w:t xml:space="preserve"> sono marchi registrati di Microsoft Corporation negli Stati Uniti e/o negli altri paesi.</w:t>
      </w:r>
    </w:p>
    <w:p w:rsidR="00F03B68" w:rsidRPr="00F551C1" w:rsidRDefault="00F03B68">
      <w:pPr>
        <w:rPr>
          <w:sz w:val="20"/>
          <w:szCs w:val="20"/>
        </w:rPr>
      </w:pPr>
    </w:p>
    <w:sectPr w:rsidR="00F03B68" w:rsidRPr="00F551C1"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3232E" w:rsidRDefault="0073232E" w:rsidP="00EE46E1">
      <w:r>
        <w:separator/>
      </w:r>
    </w:p>
  </w:endnote>
  <w:endnote w:type="continuationSeparator" w:id="0">
    <w:p w:rsidR="0073232E" w:rsidRDefault="0073232E"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3232E" w:rsidRDefault="0073232E" w:rsidP="00EE46E1">
      <w:r>
        <w:separator/>
      </w:r>
    </w:p>
  </w:footnote>
  <w:footnote w:type="continuationSeparator" w:id="0">
    <w:p w:rsidR="0073232E" w:rsidRDefault="0073232E" w:rsidP="00EE46E1">
      <w:r>
        <w:continuationSeparator/>
      </w:r>
    </w:p>
  </w:footnote>
  <w:footnote w:id="1">
    <w:p w:rsidR="00326F8A" w:rsidRPr="00CE2092" w:rsidRDefault="00326F8A" w:rsidP="00326F8A">
      <w:pPr>
        <w:pStyle w:val="Footnote"/>
        <w:rPr>
          <w:b/>
        </w:rPr>
      </w:pPr>
      <w:r w:rsidRPr="00CE2092">
        <w:rPr>
          <w:b/>
          <w:vertAlign w:val="superscript"/>
        </w:rPr>
        <w:footnoteRef/>
      </w:r>
      <w:r w:rsidRPr="00CE2092">
        <w:rPr>
          <w:b/>
        </w:rPr>
        <w:t xml:space="preserve"> LICENZIANTE: inserire il nome del prodotto appropriato, ovvero “Standard” o “Professional”. Ad esempio, qualora il software concesso in licenza sia Microsoft</w:t>
      </w:r>
      <w:r w:rsidRPr="00CE2092">
        <w:rPr>
          <w:b/>
          <w:vertAlign w:val="superscript"/>
        </w:rPr>
        <w:t>®</w:t>
      </w:r>
      <w:r w:rsidRPr="00CE2092">
        <w:rPr>
          <w:b/>
        </w:rPr>
        <w:t xml:space="preserve"> Office 2016 Standard Edition, il nome è: Microsoft</w:t>
      </w:r>
      <w:r w:rsidRPr="00CE2092">
        <w:rPr>
          <w:b/>
          <w:vertAlign w:val="superscript"/>
        </w:rPr>
        <w:t>®</w:t>
      </w:r>
      <w:r w:rsidRPr="00CE2092">
        <w:rPr>
          <w:b/>
        </w:rPr>
        <w:t xml:space="preserve"> Office Standard 2016</w:t>
      </w:r>
      <w:r w:rsidR="0068147E">
        <w:rPr>
          <w:b/>
        </w:rPr>
        <w:t>.</w:t>
      </w:r>
    </w:p>
  </w:footnote>
  <w:footnote w:id="2">
    <w:p w:rsidR="00326F8A" w:rsidRPr="00CE2092" w:rsidRDefault="00326F8A" w:rsidP="00326F8A">
      <w:pPr>
        <w:pStyle w:val="Footnote"/>
        <w:rPr>
          <w:b/>
        </w:rPr>
      </w:pPr>
      <w:r w:rsidRPr="00CE2092">
        <w:rPr>
          <w:b/>
          <w:vertAlign w:val="superscript"/>
        </w:rPr>
        <w:footnoteRef/>
      </w:r>
      <w:r w:rsidRPr="00CE2092">
        <w:rPr>
          <w:b/>
        </w:rPr>
        <w:t xml:space="preserve"> LICENZIANTE: per il software concesso in licenza come “Edizione Education” o “Academic Edition”, specificare il nome, ad esempio: Microsoft</w:t>
      </w:r>
      <w:r w:rsidRPr="00CE2092">
        <w:rPr>
          <w:b/>
          <w:vertAlign w:val="superscript"/>
        </w:rPr>
        <w:t>®</w:t>
      </w:r>
      <w:r w:rsidRPr="00CE2092">
        <w:rPr>
          <w:b/>
        </w:rPr>
        <w:t xml:space="preserve"> Office Standard 2016, Academic Edition.</w:t>
      </w:r>
    </w:p>
  </w:footnote>
  <w:footnote w:id="3">
    <w:p w:rsidR="00326F8A" w:rsidRPr="00CE2092" w:rsidRDefault="00326F8A" w:rsidP="00A27DCC">
      <w:pPr>
        <w:pStyle w:val="Footnote"/>
        <w:rPr>
          <w:b/>
        </w:rPr>
      </w:pPr>
      <w:r w:rsidRPr="00CE2092">
        <w:rPr>
          <w:b/>
          <w:vertAlign w:val="superscript"/>
        </w:rPr>
        <w:footnoteRef/>
      </w:r>
      <w:r w:rsidRPr="00CE2092">
        <w:rPr>
          <w:b/>
        </w:rPr>
        <w:t xml:space="preserve"> </w:t>
      </w:r>
      <w:r w:rsidR="00A27DCC" w:rsidRPr="00CE2092">
        <w:rPr>
          <w:b/>
        </w:rPr>
        <w:t>LICENZIANTE: specificare il numero complessivo di copie del software concesse in licenza all’utente finale ai sensi del presente contratto.</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36B08554"/>
    <w:lvl w:ilvl="0" w:tplc="652E23C8">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3E3E6148"/>
    <w:lvl w:ilvl="0" w:tplc="91F291C4">
      <w:start w:val="1"/>
      <w:numFmt w:val="decimal"/>
      <w:lvlText w:val="%1."/>
      <w:lvlJc w:val="left"/>
      <w:pPr>
        <w:ind w:left="720" w:hanging="360"/>
      </w:pPr>
      <w:rPr>
        <w:rFonts w:hint="default"/>
        <w:b/>
        <w:bCs w:val="0"/>
        <w:sz w:val="20"/>
        <w:szCs w:val="20"/>
      </w:rPr>
    </w:lvl>
    <w:lvl w:ilvl="1" w:tplc="71AC5058">
      <w:start w:val="1"/>
      <w:numFmt w:val="lowerLetter"/>
      <w:lvlText w:val="%2."/>
      <w:lvlJc w:val="left"/>
      <w:pPr>
        <w:ind w:left="1440" w:hanging="360"/>
      </w:pPr>
      <w:rPr>
        <w:rFonts w:hint="default"/>
        <w:b/>
        <w:sz w:val="20"/>
        <w:szCs w:val="20"/>
      </w:rPr>
    </w:lvl>
    <w:lvl w:ilvl="2" w:tplc="841C918A">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89A285B6"/>
    <w:lvl w:ilvl="0" w:tplc="06DC7976">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ZOFBFwTy1rCK5KFifQQ/CY0WbjNkI7SHXA52iCjLej+gl2BRuzOoF23gonflAkojSovz+4UjPCqfcqwfGoLEyw==" w:salt="ggg2IwnL5e7VLszGIyVr0Q=="/>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12F93"/>
    <w:rsid w:val="00033D82"/>
    <w:rsid w:val="0006777F"/>
    <w:rsid w:val="00095416"/>
    <w:rsid w:val="000D5503"/>
    <w:rsid w:val="001B6C64"/>
    <w:rsid w:val="00250605"/>
    <w:rsid w:val="002D5A37"/>
    <w:rsid w:val="00326F8A"/>
    <w:rsid w:val="00377FA5"/>
    <w:rsid w:val="003A2556"/>
    <w:rsid w:val="003B48EC"/>
    <w:rsid w:val="003C5103"/>
    <w:rsid w:val="00452D8E"/>
    <w:rsid w:val="00476D84"/>
    <w:rsid w:val="005435F9"/>
    <w:rsid w:val="005A214E"/>
    <w:rsid w:val="005A7527"/>
    <w:rsid w:val="005F0ED5"/>
    <w:rsid w:val="00630238"/>
    <w:rsid w:val="0068147E"/>
    <w:rsid w:val="006A2E64"/>
    <w:rsid w:val="006F5E6F"/>
    <w:rsid w:val="0073232E"/>
    <w:rsid w:val="00742C9C"/>
    <w:rsid w:val="007C2A82"/>
    <w:rsid w:val="00862AFA"/>
    <w:rsid w:val="00872B5D"/>
    <w:rsid w:val="00876AD0"/>
    <w:rsid w:val="008F3E9E"/>
    <w:rsid w:val="00911450"/>
    <w:rsid w:val="0092330B"/>
    <w:rsid w:val="00953919"/>
    <w:rsid w:val="00993CDA"/>
    <w:rsid w:val="00994777"/>
    <w:rsid w:val="009A7AB0"/>
    <w:rsid w:val="009D1A02"/>
    <w:rsid w:val="00A27DCC"/>
    <w:rsid w:val="00A330B2"/>
    <w:rsid w:val="00AE68E9"/>
    <w:rsid w:val="00B64B30"/>
    <w:rsid w:val="00B84805"/>
    <w:rsid w:val="00BA6276"/>
    <w:rsid w:val="00BB3233"/>
    <w:rsid w:val="00BF5630"/>
    <w:rsid w:val="00C159ED"/>
    <w:rsid w:val="00C24AFD"/>
    <w:rsid w:val="00C76167"/>
    <w:rsid w:val="00CE2092"/>
    <w:rsid w:val="00D070B0"/>
    <w:rsid w:val="00D82800"/>
    <w:rsid w:val="00DA4990"/>
    <w:rsid w:val="00DC2409"/>
    <w:rsid w:val="00DF6C3D"/>
    <w:rsid w:val="00E81973"/>
    <w:rsid w:val="00EE46E1"/>
    <w:rsid w:val="00F03B68"/>
    <w:rsid w:val="00F551C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37214F7-C0BF-468F-8F26-20A6DF0C9D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it-IT" w:eastAsia="it-IT" w:bidi="it-IT"/>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4998</Words>
  <Characters>28495</Characters>
  <Application>Microsoft Office Word</Application>
  <DocSecurity>0</DocSecurity>
  <Lines>237</Lines>
  <Paragraphs>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33427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Kellogg</cp:lastModifiedBy>
  <cp:revision>3</cp:revision>
  <cp:lastPrinted>2015-09-29T14:29:00Z</cp:lastPrinted>
  <dcterms:created xsi:type="dcterms:W3CDTF">2015-10-01T23:27:00Z</dcterms:created>
  <dcterms:modified xsi:type="dcterms:W3CDTF">2015-10-02T16:22:00Z</dcterms:modified>
</cp:coreProperties>
</file>